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港珠澳跨境商贸智能物流体系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【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建设背景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2018 年10 月 ，习近平总书记亲自宣布港珠澳大桥建成通车 ，并做出“ 用好、管好港珠澳大桥</w:t>
      </w:r>
      <w:bookmarkStart w:id="0" w:name="_GoBack"/>
      <w:bookmarkEnd w:id="0"/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，为粤港澳大湾区建设发挥重要作用 ”的重要指示。港珠澳大桥连接三地通达全球，具备开展国际供应链协同业务的独特条件 。2019 年起，结合创建“珠海市城市绿色货运配送示范工程 ”的契机，推动城市货运配送体系绿色低碳发展 ，加强城市绿色货运配送示范工程管理工作规范化 ，广东港珠澳集团就致力于开展“ 一桥三地全球”的国际物流分拨业务探索，并于 2021年成为广东省标准化试点单位，承担创建“广东省跨境商贸智能物流综合标准化 ”。此次上报的案例，是上述标准化试点创建的成果体现 ，也是落实总书记重要指示围绕大桥进行商业开发的成功实践。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【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项目概述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跨境商贸智能物流体系是指 ：结合大陆、香港 、澳门三地的对外贸易监管政策、法律、制度要求， 围绕港珠澳大桥“ 一桥连三地通全球 ”的区位特点 ，对传 统跨境货物进口 、出口 、流转等环节进行标准化 、信息化，把跨境商贸过程中的 “ 人、车、货”和“ 口岸、场站、仓库”形成有机整体，将跨境物流中的规律算法化、 管理流程化 、操作标准化 ，建立起以“系统+标准+规范”为核心内容的跨境商贸智能物流体系 ，消除传统模式中跨境商贸存在通关不确定性强 、物流全流程能效低等积弊，实现了粤港澳大湾区跨境商贸物流卡车航班化，为落实总书记重要指示，提升粤港澳大湾区货畅其流作出了有益探索。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【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建设情况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港珠澳跨境商贸智能物流体系，坚持“标准化+信息化 ”的工作方法，通过对 “人、车、货”和“ 口岸、场站、仓库 ”的作业模式化、系统化、流程化 ，将原来粤港澳三地跨境物流“一车一人一趟货跑一天 ”的低效模式 ，升级为“人车货科学调度，分段接力多次往返”的滴滴式运输模式。在体系建设中，把粤港、号澳跨境往来所关联的关务、商务、货物、司机、车辆、路线、仓库、口岸、场站、港(澳)货栈等全链条各节点作标准化处理，重点理顺了逻辑、优化了流程、构了模式，完成港珠澳跨境商贸智能物流调度系统、跨境电商正贸云数据平台、跨境电商出口一体化关务作业系统以及粤港澳大湾区外贸卡车航班、珠港澳货栈(西域站、洪湾站)、港珠澳大桥跨境电商出口监管作业中心等系统平台的搭建，制定了《粤港澳跨境货运调度操作手册》、《港澳司机工作准则》 等制度规范，创立团体标准和行业标准2个，申请各种专利和计算机著作权保护4个.主要建设情况有: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  <w:lang w:val="en-US" w:eastAsia="zh-CN"/>
        </w:rPr>
        <w:t>在关务信息领域。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建立起关务数据口径来源、采集规范、标准格式、流转规程等操作规范，将不同源头、不同格式不同规范的数据转化为统一标准格式，以保证货物在通关提前申报中数据精准到位。开发了关务数据企业间信息传输的标准化接口，建立企业间数据传输的格式化模板和标准化模式，数据传输的全过程实现百分百系统化，避免人为因素对于数据的干扰。建立了对企业数据规范申报程度的检判体系，不断提升关务数据的清洁程度，避免因数据不规范而导致的退单重报。建立了大陆端报关数据与香港、澳门端通关信息的自动转换程序，通过后台管理，将两端通关数据信息进行系统转换，实现无缝自动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  <w:lang w:val="en-US" w:eastAsia="zh-CN"/>
        </w:rPr>
        <w:t>在运输工具领城。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设立了港澳跨境司机从业入口，将从事“滴滴"式跨境货运的港澳籍司机信息入系统、资料电子存档，制定粤港、粤澳跨境物流骑师的从业要求、行为准则，既为港澳籍司机接处大陆业务打开方便之门，又为从业人员行为进行标准化约束，提升业务运作的效率。设立了粤港、粤澳车辆业务入口，建立车辆入库评估标准。披照踔境商贸各种贸易形态的物流载具要求，对入库的车辆进行标签化管理。”实行车辆造册编号，制定日常车辆状况及安全行使规范，辅以地理位置进行在途监控，保证车辆运行的安全。设立了跨境商贸智能运输调度算法，对于车辆闲忙、进出、查放、停甩的不同状况进行科学安排，确保物流全程不停歇。设立了运输拖挂业务入口，制定不同业务形态下不同集装箱拖挂的箱体标准，按照不同时间段装货形成不同的作业规范，细化每个场站、货栈的存挂集装箱配比，建立运输拖挂在不同跨境场景之间的存、调算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0"/>
          <w:szCs w:val="30"/>
          <w:lang w:val="en-US" w:eastAsia="zh-CN"/>
        </w:rPr>
        <w:t>在基础建设领城。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口岸:将海关对于货物审单、查验、放行的通关监管要求表格化，形成企业可操作的、统一标准的接入表头、表体。与地方电子口岸在数据传输申报方面建立良好的联系配合机制，达成高效的数据传输申报以及故障快速排除。场站:对场站设施设备统一标识， 场站作业人员统着装， 场地物品货物摆放统一要求，操作指引清晰明确，物流线路动向科学。仓库及港(澳)货栈:完成仓库端的信息化改造，建立服务于快速通关要求的仓库管理统一体系(包括库内WMS和企业管理ERP)，设立库内作业的标准化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【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项目效益</w:t>
      </w: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项目取得良好商业和社会效益，将原来22小时跑一趟珠澳往返、32小时跑趟珠港往返的行业常态，优化到24小时内最多跑4次珠澳、3次珠港往返，极大地提升粤港澳跨境跨境运输的能效。在跨境商贸智能物流体系的赋能下，短短四年，港珠澳集团实现了跨越式发展，业务运营14个月完成珠海跨境电商第一个100亿元、20个月完成第-一个200亿元。2020年7月至2023年6月共完成跨境电商进出口额320亿元，占珠海全市总量近80%。澳门、香港居民结束了春节期间无法接收大陆电商包裹的历史，受到港澳居民的致赞誉，港澳媒体均作专门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【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项目特色</w:t>
      </w: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项目是落实习近平总书记“用好管好大桥，为粤港澳大湾区建设发挥重要作用”重要指示的一次成功商业实践，通过对大陆、香港、澳门三地进出口监管政策、法律和制度要求的准确把握，运用标准化+信息化的手段方法，以算法、规范为抓手，达到统一调度、有机联动、整体解决，破除了跨境商贸物流传统模式中存在的痛点，提升了粤港澳三地跨境运输的能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项目坚持互联网思维，通过信息科技的赋能，把传统跨境物流碎片化、孤岛式的低效模式，整合为以前台系统互联互通取代手工有纸作业，以中台大数据算法决策替换人脑判断、以后台科学调度消除全流程不确定因素，将过程中的“人、车、货"和“口岸、场站、仓库”有机地撮合成为一个整体，形成一个互联网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项目坚持低碳绿色效益为导向，将原来22小时跑一趟珠澳往返、 32小时跑-趟珠港往返的行业常态，优化到24小时内最多跑4次珠澳、3次珠港往返，为提升粤港澳三地的跨境运输能效和绿色减排做出了贡献。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ODUzYzE5ZTA4ZjU0ODU2NmEyMTA3MjY0YTM5YTAifQ=="/>
  </w:docVars>
  <w:rsids>
    <w:rsidRoot w:val="72C46301"/>
    <w:rsid w:val="2B3C6B8E"/>
    <w:rsid w:val="72C4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2023-11-20T06:06:00Z</dcterms:created>
  <dc:creator>文档存本地丢失不负责</dc:creator>
  <cp:lastModifiedBy>JW</cp:lastModifiedBy>
  <dcterms:modified xsi:type="dcterms:W3CDTF">2023-11-21T06:10:06Z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F1DFB1727CD94C36BF49E617ECA39DF2_11</vt:lpwstr>
  </property>
</Properties>
</file>