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8" w:firstLineChars="445"/>
        <w:rPr>
          <w:rFonts w:hint="eastAsia" w:asciiTheme="majorEastAsia" w:hAnsiTheme="majorEastAsia" w:eastAsiaTheme="majorEastAsia"/>
          <w:b/>
          <w:sz w:val="36"/>
          <w:szCs w:val="36"/>
          <w:lang w:val="en-US" w:eastAsia="zh-CN"/>
        </w:rPr>
      </w:pPr>
      <w:r>
        <w:rPr>
          <w:rFonts w:hint="eastAsia" w:asciiTheme="majorEastAsia" w:hAnsiTheme="majorEastAsia" w:eastAsiaTheme="majorEastAsia"/>
          <w:b/>
          <w:sz w:val="36"/>
          <w:szCs w:val="36"/>
        </w:rPr>
        <w:t>氢城快运、创新冷链</w:t>
      </w:r>
      <w:r>
        <w:rPr>
          <w:rFonts w:hint="eastAsia" w:asciiTheme="majorEastAsia" w:hAnsiTheme="majorEastAsia" w:eastAsiaTheme="majorEastAsia"/>
          <w:b/>
          <w:sz w:val="36"/>
          <w:szCs w:val="36"/>
          <w:lang w:val="en-US" w:eastAsia="zh-CN"/>
        </w:rPr>
        <w:t>项目介绍及特色</w:t>
      </w:r>
    </w:p>
    <w:p>
      <w:pPr>
        <w:ind w:firstLine="3454" w:firstLineChars="1147"/>
        <w:rPr>
          <w:rFonts w:asciiTheme="minorEastAsia" w:hAnsiTheme="minorEastAsia"/>
          <w:b/>
          <w:sz w:val="30"/>
          <w:szCs w:val="30"/>
        </w:rPr>
      </w:pPr>
      <w:r>
        <w:rPr>
          <w:rFonts w:asciiTheme="minorEastAsia" w:hAnsiTheme="minorEastAsia"/>
          <w:b/>
          <w:sz w:val="30"/>
          <w:szCs w:val="30"/>
        </w:rPr>
        <w:t>项目介绍</w:t>
      </w:r>
    </w:p>
    <w:p>
      <w:pPr>
        <w:ind w:firstLine="600" w:firstLineChars="200"/>
        <w:jc w:val="left"/>
        <w:rPr>
          <w:rFonts w:hint="default" w:ascii="仿宋" w:hAnsi="仿宋" w:eastAsia="仿宋" w:cs="宋体"/>
          <w:kern w:val="0"/>
          <w:sz w:val="30"/>
          <w:szCs w:val="30"/>
          <w:lang w:val="en-US" w:eastAsia="zh-CN"/>
        </w:rPr>
      </w:pPr>
      <w:r>
        <w:rPr>
          <w:rFonts w:hint="default" w:ascii="仿宋" w:hAnsi="仿宋" w:eastAsia="仿宋" w:cs="宋体"/>
          <w:kern w:val="0"/>
          <w:sz w:val="30"/>
          <w:szCs w:val="30"/>
          <w:lang w:val="en-US" w:eastAsia="zh-CN"/>
        </w:rPr>
        <w:t>本项目基于国家双碳发展战略的背景，通过引入新能源与物  联网技术，结合数字化平台，联合知名冷链速运公司以及北理工  院士团队 ，打造“氢能源车+移动方舱 +一车多温”运输新模式，创建智能绿色物流解决方案提供商品牌</w:t>
      </w:r>
      <w:r>
        <w:rPr>
          <w:rFonts w:hint="eastAsia" w:ascii="仿宋" w:hAnsi="仿宋" w:eastAsia="仿宋" w:cs="宋体"/>
          <w:kern w:val="0"/>
          <w:sz w:val="30"/>
          <w:szCs w:val="30"/>
          <w:lang w:val="en-US" w:eastAsia="zh-CN"/>
        </w:rPr>
        <w:t>——</w:t>
      </w:r>
      <w:r>
        <w:rPr>
          <w:rFonts w:hint="default" w:ascii="仿宋" w:hAnsi="仿宋" w:eastAsia="仿宋" w:cs="宋体"/>
          <w:kern w:val="0"/>
          <w:sz w:val="30"/>
          <w:szCs w:val="30"/>
          <w:lang w:val="en-US" w:eastAsia="zh-CN"/>
        </w:rPr>
        <w:t>氢城快运，聚焦生鲜/食品冷链 、疫苗/生物制品/药品冷链 、电子元器件冷链等方向持续发力，目前已达成 200 辆新(纯电 、氢能)能源轻卡运力， 预计到 2023 年底达成 500 辆新(纯电 、氢能)能源轻卡运力，并已获得“ 佛山市城市绿色货运配送示范企业 ”称号。</w:t>
      </w:r>
    </w:p>
    <w:p>
      <w:pPr>
        <w:ind w:firstLine="600" w:firstLineChars="200"/>
        <w:jc w:val="left"/>
        <w:rPr>
          <w:rFonts w:hint="default" w:ascii="仿宋" w:hAnsi="仿宋" w:eastAsia="仿宋" w:cs="宋体"/>
          <w:kern w:val="0"/>
          <w:sz w:val="30"/>
          <w:szCs w:val="30"/>
          <w:lang w:val="en-US" w:eastAsia="zh-CN"/>
        </w:rPr>
      </w:pPr>
      <w:r>
        <w:rPr>
          <w:rFonts w:hint="default" w:ascii="仿宋" w:hAnsi="仿宋" w:eastAsia="仿宋" w:cs="宋体"/>
          <w:kern w:val="0"/>
          <w:sz w:val="30"/>
          <w:szCs w:val="30"/>
          <w:lang w:val="en-US" w:eastAsia="zh-CN"/>
        </w:rPr>
        <w:t>新能源属性提供了更优质的物流解决方案，目前公司运营车 辆均为新能源车辆，同时符合冷藏物流车运输距离远且载重要求 高的特点，也满足客户对绿色物流的需求。此外，创新的冷链模 式提供了技术赋能。从传统的有源冷链到无源冷链，从一车一温 到一车多温，公司依托技术支撑大幅提升了配送效率，实现资源 配置优化。</w:t>
      </w:r>
    </w:p>
    <w:p>
      <w:pPr>
        <w:ind w:firstLine="600" w:firstLineChars="200"/>
        <w:jc w:val="left"/>
        <w:rPr>
          <w:rFonts w:hint="default" w:ascii="仿宋" w:hAnsi="仿宋" w:eastAsia="仿宋" w:cs="宋体"/>
          <w:kern w:val="0"/>
          <w:sz w:val="30"/>
          <w:szCs w:val="30"/>
          <w:lang w:val="en-US" w:eastAsia="zh-CN"/>
        </w:rPr>
      </w:pPr>
      <w:r>
        <w:rPr>
          <w:rFonts w:hint="default" w:ascii="仿宋" w:hAnsi="仿宋" w:eastAsia="仿宋" w:cs="宋体"/>
          <w:kern w:val="0"/>
          <w:sz w:val="30"/>
          <w:szCs w:val="30"/>
          <w:lang w:val="en-US" w:eastAsia="zh-CN"/>
        </w:rPr>
        <w:t>在与某乳制品企业的合作中，客户既需要城配也需要干线运 输，其中城配运输中用车高峰期近 40车/天，干线运输用车高峰期近 20 车/天，每天的车辆需求波动都极大，并要求在8小时内响应用车需求。自合作以来，广迎供应链每个月的车辆响应及时 率都达到 100%, 灵活应对客户的用车需求，协助客户到货及时率提高10%以上。</w:t>
      </w:r>
    </w:p>
    <w:p>
      <w:pPr>
        <w:ind w:firstLine="600" w:firstLineChars="200"/>
        <w:jc w:val="left"/>
        <w:rPr>
          <w:rFonts w:hint="eastAsia" w:asciiTheme="minorEastAsia" w:hAnsiTheme="minorEastAsia" w:eastAsiaTheme="minorEastAsia"/>
          <w:b/>
          <w:sz w:val="30"/>
          <w:szCs w:val="30"/>
          <w:lang w:eastAsia="zh-CN"/>
        </w:rPr>
      </w:pPr>
      <w:r>
        <w:rPr>
          <w:rFonts w:hint="default" w:ascii="仿宋" w:hAnsi="仿宋" w:eastAsia="仿宋" w:cs="宋体"/>
          <w:kern w:val="0"/>
          <w:sz w:val="30"/>
          <w:szCs w:val="30"/>
          <w:lang w:val="en-US" w:eastAsia="zh-CN"/>
        </w:rPr>
        <w:t>今年，在国家政策推进下，公司将抓住市场机遇，以市场化 的手段升级商业模式，积极扩大氢能源车辆应用规模，努力拓展 当地及外地市场，并依托集团内低成本的氢源 以及绿色物流示范企业的资质加持，进-步提升盈利能力及可持续发展能力，实现自主造血并发展壮大，为社会带来更多经济效益和环境效益。</w:t>
      </w:r>
    </w:p>
    <w:p>
      <w:pPr>
        <w:jc w:val="center"/>
        <w:rPr>
          <w:rFonts w:hint="eastAsia" w:asciiTheme="minorEastAsia" w:hAnsiTheme="minorEastAsia" w:eastAsiaTheme="minorEastAsia"/>
          <w:b/>
          <w:sz w:val="30"/>
          <w:szCs w:val="30"/>
          <w:lang w:eastAsia="zh-CN"/>
        </w:rPr>
      </w:pPr>
      <w:r>
        <w:rPr>
          <w:rFonts w:hint="eastAsia" w:asciiTheme="minorEastAsia" w:hAnsiTheme="minorEastAsia" w:eastAsiaTheme="minorEastAsia"/>
          <w:b/>
          <w:sz w:val="30"/>
          <w:szCs w:val="30"/>
          <w:lang w:eastAsia="zh-CN"/>
        </w:rPr>
        <w:drawing>
          <wp:inline distT="0" distB="0" distL="114300" distR="114300">
            <wp:extent cx="4645025" cy="2891790"/>
            <wp:effectExtent l="0" t="0" r="3175" b="3810"/>
            <wp:docPr id="1" name="图片 1" descr="附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附件2"/>
                    <pic:cNvPicPr>
                      <a:picLocks noChangeAspect="1"/>
                    </pic:cNvPicPr>
                  </pic:nvPicPr>
                  <pic:blipFill>
                    <a:blip r:embed="rId4"/>
                    <a:stretch>
                      <a:fillRect/>
                    </a:stretch>
                  </pic:blipFill>
                  <pic:spPr>
                    <a:xfrm>
                      <a:off x="0" y="0"/>
                      <a:ext cx="4645025" cy="2891790"/>
                    </a:xfrm>
                    <a:prstGeom prst="rect">
                      <a:avLst/>
                    </a:prstGeom>
                  </pic:spPr>
                </pic:pic>
              </a:graphicData>
            </a:graphic>
          </wp:inline>
        </w:drawing>
      </w:r>
      <w:bookmarkStart w:id="0" w:name="_GoBack"/>
      <w:bookmarkEnd w:id="0"/>
    </w:p>
    <w:p>
      <w:pPr>
        <w:ind w:firstLine="3454" w:firstLineChars="1147"/>
        <w:rPr>
          <w:rFonts w:hint="default" w:ascii="仿宋" w:hAnsi="仿宋" w:eastAsia="仿宋" w:cs="宋体"/>
          <w:kern w:val="0"/>
          <w:sz w:val="30"/>
          <w:szCs w:val="30"/>
          <w:lang w:val="en-US" w:eastAsia="zh-CN"/>
        </w:rPr>
      </w:pPr>
      <w:r>
        <w:rPr>
          <w:rFonts w:asciiTheme="minorEastAsia" w:hAnsiTheme="minorEastAsia"/>
          <w:b/>
          <w:sz w:val="30"/>
          <w:szCs w:val="30"/>
        </w:rPr>
        <w:t>项目</w:t>
      </w:r>
      <w:r>
        <w:rPr>
          <w:rFonts w:hint="eastAsia" w:asciiTheme="minorEastAsia" w:hAnsiTheme="minorEastAsia"/>
          <w:b/>
          <w:sz w:val="30"/>
          <w:szCs w:val="30"/>
          <w:lang w:val="en-US" w:eastAsia="zh-CN"/>
        </w:rPr>
        <w:t>特色</w:t>
      </w:r>
    </w:p>
    <w:p>
      <w:pPr>
        <w:ind w:firstLine="600" w:firstLineChars="200"/>
        <w:jc w:val="left"/>
        <w:rPr>
          <w:rFonts w:hint="default" w:ascii="仿宋" w:hAnsi="仿宋" w:eastAsia="仿宋" w:cs="宋体"/>
          <w:kern w:val="0"/>
          <w:sz w:val="30"/>
          <w:szCs w:val="30"/>
          <w:lang w:val="en-US" w:eastAsia="zh-CN"/>
        </w:rPr>
      </w:pPr>
      <w:r>
        <w:rPr>
          <w:rFonts w:hint="default" w:ascii="仿宋" w:hAnsi="仿宋" w:eastAsia="仿宋" w:cs="宋体"/>
          <w:kern w:val="0"/>
          <w:sz w:val="30"/>
          <w:szCs w:val="30"/>
          <w:lang w:val="en-US" w:eastAsia="zh-CN"/>
        </w:rPr>
        <w:t>该项目搭载北京理工大学院士团队研发的航天冷链技术，实现一车多温，全温层随意切换，满足冷链物料的技术需求。采用新型高效率整车控制策略及热管理技术，能够做到零下30度低温启动、零下40度低温存放，极大程度上满足了冷链物流全链条温控需求。</w:t>
      </w:r>
    </w:p>
    <w:p>
      <w:pPr>
        <w:ind w:firstLine="600" w:firstLineChars="200"/>
        <w:jc w:val="left"/>
        <w:rPr>
          <w:rFonts w:hint="default" w:ascii="仿宋" w:hAnsi="仿宋" w:eastAsia="仿宋" w:cs="宋体"/>
          <w:kern w:val="0"/>
          <w:sz w:val="30"/>
          <w:szCs w:val="30"/>
          <w:lang w:val="en-US" w:eastAsia="zh-CN"/>
        </w:rPr>
      </w:pPr>
      <w:r>
        <w:rPr>
          <w:rFonts w:hint="default" w:ascii="仿宋" w:hAnsi="仿宋" w:eastAsia="仿宋" w:cs="宋体"/>
          <w:kern w:val="0"/>
          <w:sz w:val="30"/>
          <w:szCs w:val="30"/>
          <w:lang w:val="en-US" w:eastAsia="zh-CN"/>
        </w:rPr>
        <w:t>其中核心产品的移动冷链方舱是基于航天技术落地转化的单元化冷链装备，针对医药冷链、生鲜冷链食品热链运输场景打造，静态时可作为临时存储冷库，动态运输时可作为温控集装箱，能有效打通存储与运输边界，实现冷链商品生产端、流通端、消费端三端融合。适用于跨省/市及跨国长途运输与中转存储，可为高品质生鲜食品及医药、疫苗、试剂等提供端到端的、全温层、精准的质量保障。</w:t>
      </w:r>
    </w:p>
    <w:p>
      <w:pPr>
        <w:ind w:firstLine="600" w:firstLineChars="200"/>
        <w:jc w:val="left"/>
        <w:rPr>
          <w:rFonts w:hint="default" w:ascii="仿宋" w:hAnsi="仿宋" w:eastAsia="仿宋" w:cs="宋体"/>
          <w:kern w:val="0"/>
          <w:sz w:val="30"/>
          <w:szCs w:val="30"/>
          <w:lang w:val="en-US" w:eastAsia="zh-CN"/>
        </w:rPr>
      </w:pPr>
      <w:r>
        <w:rPr>
          <w:rFonts w:hint="default" w:ascii="仿宋" w:hAnsi="仿宋" w:eastAsia="仿宋" w:cs="宋体"/>
          <w:kern w:val="0"/>
          <w:sz w:val="30"/>
          <w:szCs w:val="30"/>
          <w:lang w:val="en-US" w:eastAsia="zh-CN"/>
        </w:rPr>
        <w:t>通过与新能源氢车的结合运用，也能够有效实现低碳目标，采用新能源技术(如电动、氢能等)，相比传统燃油车辆具有更低的能耗和排放。新能源冷链车使用电能或氢气作为动力源，不仅可以减少对化石燃料的依赖，还能降低二氧化碳、氮氧化物等有害气体的排放，有效减少对环境的污染。</w:t>
      </w:r>
    </w:p>
    <w:p>
      <w:pPr>
        <w:jc w:val="center"/>
        <w:rPr>
          <w:rFonts w:hint="default" w:ascii="仿宋" w:hAnsi="仿宋" w:eastAsia="仿宋" w:cs="宋体"/>
          <w:kern w:val="0"/>
          <w:sz w:val="30"/>
          <w:szCs w:val="30"/>
          <w:lang w:val="en-US" w:eastAsia="zh-CN"/>
        </w:rPr>
      </w:pPr>
      <w:r>
        <w:rPr>
          <w:rFonts w:hint="default" w:ascii="仿宋" w:hAnsi="仿宋" w:eastAsia="仿宋" w:cs="宋体"/>
          <w:kern w:val="0"/>
          <w:sz w:val="30"/>
          <w:szCs w:val="30"/>
          <w:lang w:val="en-US" w:eastAsia="zh-CN"/>
        </w:rPr>
        <w:drawing>
          <wp:inline distT="0" distB="0" distL="114300" distR="114300">
            <wp:extent cx="5080000" cy="3810000"/>
            <wp:effectExtent l="0" t="0" r="0" b="0"/>
            <wp:docPr id="2" name="图片 2" descr="附件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附件3"/>
                    <pic:cNvPicPr>
                      <a:picLocks noChangeAspect="1"/>
                    </pic:cNvPicPr>
                  </pic:nvPicPr>
                  <pic:blipFill>
                    <a:blip r:embed="rId5"/>
                    <a:stretch>
                      <a:fillRect/>
                    </a:stretch>
                  </pic:blipFill>
                  <pic:spPr>
                    <a:xfrm>
                      <a:off x="0" y="0"/>
                      <a:ext cx="5080000" cy="381000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wODUzYzE5ZTA4ZjU0ODU2NmEyMTA3MjY0YTM5YTAifQ=="/>
  </w:docVars>
  <w:rsids>
    <w:rsidRoot w:val="0DA44B26"/>
    <w:rsid w:val="0DA44B26"/>
    <w:rsid w:val="608C2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2023-11-20T06:24:00Z</dcterms:created>
  <dc:creator>文档存本地丢失不负责</dc:creator>
  <cp:lastModifiedBy>JW</cp:lastModifiedBy>
  <dcterms:modified xsi:type="dcterms:W3CDTF">2023-11-21T06:13:58Z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FB84FD0E42894270B05212080A137069_11</vt:lpwstr>
  </property>
</Properties>
</file>