
<file path=[Content_Types].xml><?xml version="1.0" encoding="utf-8"?>
<Types xmlns="http://schemas.openxmlformats.org/package/2006/content-types">
  <Default Extension="jpeg" ContentType="image/jpeg"/>
  <Default Extension="JPG" ContentType="image/.jpg"/>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阿里巴巴普惠体 L" w:hAnsi="阿里巴巴普惠体 L" w:eastAsia="阿里巴巴普惠体 L" w:cs="阿里巴巴普惠体 L"/>
          <w:b/>
          <w:sz w:val="28"/>
          <w:szCs w:val="28"/>
        </w:rPr>
      </w:pPr>
      <w:r>
        <w:rPr>
          <w:rFonts w:hint="eastAsia" w:ascii="阿里巴巴普惠体 L" w:hAnsi="阿里巴巴普惠体 L" w:eastAsia="阿里巴巴普惠体 L" w:cs="阿里巴巴普惠体 L"/>
          <w:b/>
          <w:sz w:val="28"/>
          <w:szCs w:val="28"/>
        </w:rPr>
        <w:t>土地价值捕获</w:t>
      </w:r>
      <w:r>
        <w:rPr>
          <w:rFonts w:hint="eastAsia" w:ascii="阿里巴巴普惠体 L" w:hAnsi="阿里巴巴普惠体 L" w:eastAsia="阿里巴巴普惠体 L" w:cs="阿里巴巴普惠体 L"/>
          <w:b/>
          <w:color w:val="FF0066"/>
          <w:sz w:val="28"/>
          <w:szCs w:val="28"/>
        </w:rPr>
        <w:t>︱</w:t>
      </w:r>
      <w:r>
        <w:rPr>
          <w:rFonts w:hint="eastAsia" w:ascii="阿里巴巴普惠体 L" w:hAnsi="阿里巴巴普惠体 L" w:eastAsia="阿里巴巴普惠体 L" w:cs="阿里巴巴普惠体 L"/>
          <w:b/>
          <w:sz w:val="28"/>
          <w:szCs w:val="28"/>
        </w:rPr>
        <w:t>圣保罗L</w:t>
      </w:r>
      <w:r>
        <w:rPr>
          <w:rFonts w:ascii="阿里巴巴普惠体 L" w:hAnsi="阿里巴巴普惠体 L" w:eastAsia="阿里巴巴普惠体 L" w:cs="阿里巴巴普惠体 L"/>
          <w:b/>
          <w:sz w:val="28"/>
          <w:szCs w:val="28"/>
        </w:rPr>
        <w:t>VC</w:t>
      </w:r>
      <w:r>
        <w:rPr>
          <w:rFonts w:hint="eastAsia" w:ascii="阿里巴巴普惠体 L" w:hAnsi="阿里巴巴普惠体 L" w:eastAsia="阿里巴巴普惠体 L" w:cs="阿里巴巴普惠体 L"/>
          <w:b/>
          <w:sz w:val="28"/>
          <w:szCs w:val="28"/>
        </w:rPr>
        <w:t>案例的解读</w:t>
      </w:r>
    </w:p>
    <w:p>
      <w:pPr>
        <w:pStyle w:val="7"/>
        <w:spacing w:line="360" w:lineRule="auto"/>
        <w:ind w:firstLine="480" w:firstLineChars="200"/>
        <w:jc w:val="both"/>
        <w:rPr>
          <w:rFonts w:cs="阿里巴巴普惠体 L" w:asciiTheme="majorEastAsia" w:hAnsiTheme="majorEastAsia" w:eastAsiaTheme="majorEastAsia"/>
        </w:rPr>
      </w:pPr>
      <w:r>
        <w:rPr>
          <w:rFonts w:hint="eastAsia" w:cs="阿里巴巴普惠体 L" w:asciiTheme="majorEastAsia" w:hAnsiTheme="majorEastAsia" w:eastAsiaTheme="majorEastAsia"/>
        </w:rPr>
        <w:t>本文基于</w:t>
      </w:r>
      <w:r>
        <w:rPr>
          <w:rFonts w:hint="eastAsia" w:cs="阿里巴巴普惠体 L" w:asciiTheme="majorEastAsia" w:hAnsiTheme="majorEastAsia" w:eastAsiaTheme="majorEastAsia"/>
          <w:lang w:val="en-US" w:eastAsia="zh-CN"/>
        </w:rPr>
        <w:t>圣保罗</w:t>
      </w:r>
      <w:r>
        <w:rPr>
          <w:rFonts w:hint="eastAsia" w:cs="阿里巴巴普惠体 L" w:asciiTheme="majorEastAsia" w:hAnsiTheme="majorEastAsia" w:eastAsiaTheme="majorEastAsia"/>
        </w:rPr>
        <w:t>案例研究，对城市土地价值捕获（</w:t>
      </w:r>
      <w:r>
        <w:rPr>
          <w:rFonts w:cs="阿里巴巴普惠体 L" w:asciiTheme="majorEastAsia" w:hAnsiTheme="majorEastAsia" w:eastAsiaTheme="majorEastAsia"/>
        </w:rPr>
        <w:t>Land Value Capture</w:t>
      </w:r>
      <w:r>
        <w:rPr>
          <w:rFonts w:hint="eastAsia" w:cs="阿里巴巴普惠体 L" w:asciiTheme="majorEastAsia" w:hAnsiTheme="majorEastAsia" w:eastAsiaTheme="majorEastAsia"/>
        </w:rPr>
        <w:t>，LVC）工具的财政和公平</w:t>
      </w:r>
      <w:r>
        <w:rPr>
          <w:rFonts w:cs="阿里巴巴普惠体 L" w:asciiTheme="majorEastAsia" w:hAnsiTheme="majorEastAsia" w:eastAsiaTheme="majorEastAsia"/>
        </w:rPr>
        <w:t>性</w:t>
      </w:r>
      <w:r>
        <w:rPr>
          <w:rFonts w:hint="eastAsia" w:cs="阿里巴巴普惠体 L" w:asciiTheme="majorEastAsia" w:hAnsiTheme="majorEastAsia" w:eastAsiaTheme="majorEastAsia"/>
        </w:rPr>
        <w:t>影响进行了分析。本文主要采用案头研究和采访两种</w:t>
      </w:r>
      <w:r>
        <w:rPr>
          <w:rFonts w:cs="阿里巴巴普惠体 L" w:asciiTheme="majorEastAsia" w:hAnsiTheme="majorEastAsia" w:eastAsiaTheme="majorEastAsia"/>
        </w:rPr>
        <w:t>方式</w:t>
      </w:r>
      <w:r>
        <w:rPr>
          <w:rFonts w:hint="eastAsia" w:cs="阿里巴巴普惠体 L" w:asciiTheme="majorEastAsia" w:hAnsiTheme="majorEastAsia" w:eastAsiaTheme="majorEastAsia"/>
        </w:rPr>
        <w:t>，被采访者对三个城市的政策和市场动态有深入的了解，并代表了不同的观点。研究分析强调了法律和规划过程（尤其是与土地使用权有关）的</w:t>
      </w:r>
      <w:r>
        <w:rPr>
          <w:rFonts w:cs="阿里巴巴普惠体 L" w:asciiTheme="majorEastAsia" w:hAnsiTheme="majorEastAsia" w:eastAsiaTheme="majorEastAsia"/>
        </w:rPr>
        <w:t>相关性</w:t>
      </w:r>
      <w:r>
        <w:rPr>
          <w:rFonts w:hint="eastAsia" w:cs="阿里巴巴普惠体 L" w:asciiTheme="majorEastAsia" w:hAnsiTheme="majorEastAsia" w:eastAsiaTheme="majorEastAsia"/>
        </w:rPr>
        <w:t>，可用的金融工具，房地产市场状况动态以及政府在LVC设计和实施方面的能力等因素。通过案例解读表明，以下</w:t>
      </w:r>
      <w:r>
        <w:rPr>
          <w:rFonts w:cs="阿里巴巴普惠体 L" w:asciiTheme="majorEastAsia" w:hAnsiTheme="majorEastAsia" w:eastAsiaTheme="majorEastAsia"/>
        </w:rPr>
        <w:t>因素</w:t>
      </w:r>
      <w:r>
        <w:rPr>
          <w:rFonts w:hint="eastAsia" w:cs="阿里巴巴普惠体 L" w:asciiTheme="majorEastAsia" w:hAnsiTheme="majorEastAsia" w:eastAsiaTheme="majorEastAsia"/>
        </w:rPr>
        <w:t>对以公平方式实施LVC起到了</w:t>
      </w:r>
      <w:r>
        <w:rPr>
          <w:rFonts w:cs="阿里巴巴普惠体 L" w:asciiTheme="majorEastAsia" w:hAnsiTheme="majorEastAsia" w:eastAsiaTheme="majorEastAsia"/>
        </w:rPr>
        <w:t>关键性</w:t>
      </w:r>
      <w:r>
        <w:rPr>
          <w:rFonts w:hint="eastAsia" w:cs="阿里巴巴普惠体 L" w:asciiTheme="majorEastAsia" w:hAnsiTheme="majorEastAsia" w:eastAsiaTheme="majorEastAsia"/>
        </w:rPr>
        <w:t>作用：从项目</w:t>
      </w:r>
      <w:r>
        <w:rPr>
          <w:rFonts w:cs="阿里巴巴普惠体 L" w:asciiTheme="majorEastAsia" w:hAnsiTheme="majorEastAsia" w:eastAsiaTheme="majorEastAsia"/>
        </w:rPr>
        <w:t>实施</w:t>
      </w:r>
      <w:r>
        <w:rPr>
          <w:rFonts w:hint="eastAsia" w:cs="阿里巴巴普惠体 L" w:asciiTheme="majorEastAsia" w:hAnsiTheme="majorEastAsia" w:eastAsiaTheme="majorEastAsia"/>
        </w:rPr>
        <w:t>一开始而不是在实施期间或之后规划公平的融资和风险减轻方案；基于更新后的物业地籍的透明估值；能力建设、综合规划、长期愿景和政治支持以及公共和私人行为者之间共同承担责任和相互信任。</w:t>
      </w:r>
    </w:p>
    <w:p>
      <w:pPr>
        <w:pStyle w:val="7"/>
        <w:spacing w:before="63" w:after="63"/>
        <w:jc w:val="both"/>
        <w:rPr>
          <w:rFonts w:ascii="阿里巴巴普惠体 L" w:hAnsi="阿里巴巴普惠体 L" w:eastAsia="阿里巴巴普惠体 L" w:cs="阿里巴巴普惠体 L"/>
          <w:b/>
          <w:sz w:val="36"/>
          <w:szCs w:val="36"/>
        </w:rPr>
      </w:pPr>
      <w:r>
        <w:rPr>
          <w:rFonts w:ascii="阿里巴巴普惠体 L" w:hAnsi="阿里巴巴普惠体 L" w:eastAsia="阿里巴巴普惠体 L" w:cs="阿里巴巴普惠体 L"/>
          <w:b/>
          <w:sz w:val="36"/>
          <w:szCs w:val="36"/>
        </w:rPr>
        <w:drawing>
          <wp:inline distT="0" distB="0" distL="0" distR="0">
            <wp:extent cx="5511800" cy="3670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513776" cy="3672186"/>
                    </a:xfrm>
                    <a:prstGeom prst="rect">
                      <a:avLst/>
                    </a:prstGeom>
                    <a:noFill/>
                    <a:ln>
                      <a:noFill/>
                    </a:ln>
                  </pic:spPr>
                </pic:pic>
              </a:graphicData>
            </a:graphic>
          </wp:inline>
        </w:drawing>
      </w:r>
    </w:p>
    <w:p>
      <w:pPr>
        <w:pStyle w:val="7"/>
        <w:spacing w:before="63" w:after="63"/>
        <w:jc w:val="both"/>
        <w:rPr>
          <w:rFonts w:ascii="阿里巴巴普惠体 L" w:hAnsi="阿里巴巴普惠体 L" w:eastAsia="阿里巴巴普惠体 L" w:cs="阿里巴巴普惠体 L"/>
          <w:b/>
          <w:sz w:val="36"/>
          <w:szCs w:val="36"/>
        </w:rPr>
      </w:pPr>
      <w:r>
        <w:rPr>
          <w:rFonts w:hint="eastAsia" w:ascii="阿里巴巴普惠体 L" w:hAnsi="阿里巴巴普惠体 L" w:eastAsia="阿里巴巴普惠体 L" w:cs="阿里巴巴普惠体 L"/>
          <w:b/>
          <w:sz w:val="36"/>
          <w:szCs w:val="36"/>
        </w:rPr>
        <w:t>4</w:t>
      </w:r>
      <w:r>
        <w:rPr>
          <w:rFonts w:ascii="阿里巴巴普惠体 L" w:hAnsi="阿里巴巴普惠体 L" w:eastAsia="阿里巴巴普惠体 L" w:cs="阿里巴巴普惠体 L"/>
          <w:b/>
          <w:sz w:val="36"/>
          <w:szCs w:val="36"/>
        </w:rPr>
        <w:t xml:space="preserve"> </w:t>
      </w:r>
      <w:r>
        <w:rPr>
          <w:rFonts w:hint="eastAsia" w:ascii="阿里巴巴普惠体 L" w:hAnsi="阿里巴巴普惠体 L" w:eastAsia="阿里巴巴普惠体 L" w:cs="阿里巴巴普惠体 L"/>
          <w:b/>
          <w:sz w:val="36"/>
          <w:szCs w:val="36"/>
        </w:rPr>
        <w:t>案例研究</w:t>
      </w:r>
    </w:p>
    <w:p>
      <w:pPr>
        <w:pStyle w:val="7"/>
        <w:spacing w:before="63" w:after="63"/>
        <w:jc w:val="both"/>
        <w:rPr>
          <w:rFonts w:ascii="阿里巴巴普惠体 L" w:hAnsi="阿里巴巴普惠体 L" w:eastAsia="阿里巴巴普惠体 L" w:cs="阿里巴巴普惠体 L"/>
          <w:b/>
          <w:sz w:val="32"/>
          <w:szCs w:val="32"/>
        </w:rPr>
      </w:pPr>
      <w:bookmarkStart w:id="1" w:name="_GoBack"/>
      <w:bookmarkEnd w:id="1"/>
      <w:r>
        <w:rPr>
          <w:rFonts w:hint="eastAsia" w:ascii="阿里巴巴普惠体 L" w:hAnsi="阿里巴巴普惠体 L" w:eastAsia="阿里巴巴普惠体 L" w:cs="阿里巴巴普惠体 L"/>
          <w:b/>
          <w:sz w:val="32"/>
          <w:szCs w:val="32"/>
        </w:rPr>
        <w:t>4.1 巴西案例：</w:t>
      </w:r>
      <w:r>
        <w:rPr>
          <w:rFonts w:ascii="阿里巴巴普惠体 L" w:hAnsi="阿里巴巴普惠体 L" w:eastAsia="阿里巴巴普惠体 L" w:cs="阿里巴巴普惠体 L"/>
          <w:b/>
          <w:sz w:val="32"/>
          <w:szCs w:val="32"/>
        </w:rPr>
        <w:t>圣保罗</w:t>
      </w:r>
      <w:r>
        <w:rPr>
          <w:rFonts w:hint="eastAsia" w:ascii="阿里巴巴普惠体 L" w:hAnsi="阿里巴巴普惠体 L" w:eastAsia="阿里巴巴普惠体 L" w:cs="阿里巴巴普惠体 L"/>
          <w:b/>
          <w:sz w:val="32"/>
          <w:szCs w:val="32"/>
        </w:rPr>
        <w:t>的</w:t>
      </w:r>
      <w:r>
        <w:rPr>
          <w:rFonts w:ascii="阿里巴巴普惠体 L" w:hAnsi="阿里巴巴普惠体 L" w:eastAsia="阿里巴巴普惠体 L" w:cs="阿里巴巴普惠体 L"/>
          <w:b/>
          <w:sz w:val="32"/>
          <w:szCs w:val="32"/>
        </w:rPr>
        <w:t>Água Espraiada联合城市运营</w:t>
      </w:r>
    </w:p>
    <w:p>
      <w:pPr>
        <w:pStyle w:val="7"/>
        <w:spacing w:before="63" w:after="63"/>
        <w:jc w:val="both"/>
        <w:rPr>
          <w:rFonts w:ascii="阿里巴巴普惠体 L" w:hAnsi="阿里巴巴普惠体 L" w:eastAsia="阿里巴巴普惠体 L" w:cs="阿里巴巴普惠体 L"/>
          <w:b/>
          <w:sz w:val="28"/>
          <w:szCs w:val="28"/>
          <w:u w:val="single"/>
        </w:rPr>
      </w:pPr>
      <w:r>
        <w:rPr>
          <w:rFonts w:hint="eastAsia" w:ascii="阿里巴巴普惠体 L" w:hAnsi="阿里巴巴普惠体 L" w:eastAsia="阿里巴巴普惠体 L" w:cs="阿里巴巴普惠体 L"/>
          <w:b/>
          <w:sz w:val="28"/>
          <w:szCs w:val="28"/>
          <w:u w:val="single"/>
        </w:rPr>
        <w:t>4.1.1</w:t>
      </w:r>
      <w:r>
        <w:rPr>
          <w:rFonts w:ascii="阿里巴巴普惠体 L" w:hAnsi="阿里巴巴普惠体 L" w:eastAsia="阿里巴巴普惠体 L" w:cs="阿里巴巴普惠体 L"/>
          <w:b/>
          <w:sz w:val="28"/>
          <w:szCs w:val="28"/>
          <w:u w:val="single"/>
        </w:rPr>
        <w:t>圣保罗</w:t>
      </w:r>
      <w:r>
        <w:rPr>
          <w:rFonts w:hint="eastAsia" w:ascii="阿里巴巴普惠体 L" w:hAnsi="阿里巴巴普惠体 L" w:eastAsia="阿里巴巴普惠体 L" w:cs="阿里巴巴普惠体 L"/>
          <w:b/>
          <w:sz w:val="28"/>
          <w:szCs w:val="28"/>
          <w:u w:val="single"/>
        </w:rPr>
        <w:t>的</w:t>
      </w:r>
      <w:r>
        <w:rPr>
          <w:rFonts w:ascii="阿里巴巴普惠体 L" w:hAnsi="阿里巴巴普惠体 L" w:eastAsia="阿里巴巴普惠体 L" w:cs="阿里巴巴普惠体 L"/>
          <w:b/>
          <w:sz w:val="28"/>
          <w:szCs w:val="28"/>
          <w:u w:val="single"/>
        </w:rPr>
        <w:t>Água Espraiada联合城市运营项目背景和LVC有利条件</w:t>
      </w:r>
    </w:p>
    <w:p>
      <w:pPr>
        <w:pStyle w:val="7"/>
        <w:spacing w:line="360" w:lineRule="auto"/>
        <w:ind w:firstLine="480" w:firstLineChars="200"/>
        <w:jc w:val="both"/>
        <w:rPr>
          <w:rFonts w:cs="阿里巴巴普惠体 L" w:asciiTheme="majorEastAsia" w:hAnsiTheme="majorEastAsia" w:eastAsiaTheme="majorEastAsia"/>
        </w:rPr>
      </w:pPr>
      <w:r>
        <w:rPr>
          <w:rFonts w:hint="eastAsia" w:cs="阿里巴巴普惠体 L" w:asciiTheme="majorEastAsia" w:hAnsiTheme="majorEastAsia" w:eastAsiaTheme="majorEastAsia"/>
        </w:rPr>
        <w:t>自1970年代巴西开始将土地价值捕获作为一种创收机制以来，这套机制已经在当地逐渐成熟。由公共投资获得的土地增值应当使整个社区受益，而非由私人获益这一想法花费了很长时间最终成功写入当地法律。土地价值捕获的原则首先被纳入1988年的《联邦宪法》，随后于2001年纳入《城市发展法》和《城市法规》（Estatuto da Cidade）。</w:t>
      </w:r>
      <w:r>
        <w:rPr>
          <w:rFonts w:cs="阿里巴巴普惠体 L" w:asciiTheme="majorEastAsia" w:hAnsiTheme="majorEastAsia" w:eastAsiaTheme="majorEastAsia"/>
        </w:rPr>
        <w:t>圣保罗</w:t>
      </w:r>
      <w:r>
        <w:rPr>
          <w:rFonts w:hint="eastAsia" w:cs="阿里巴巴普惠体 L" w:asciiTheme="majorEastAsia" w:hAnsiTheme="majorEastAsia" w:eastAsiaTheme="majorEastAsia"/>
        </w:rPr>
        <w:t>在2002年战略总体规划和2004年联邦城市法规中的土地使用法中共同引入了该市使用的第一个官方LVC机制-额外建筑开发权收费（Outorga Onerosa do Direito de Construir –OODC）。OODC使市政府可以通过向开发商收取额外的建筑开发权来获得收益。</w:t>
      </w:r>
    </w:p>
    <w:p>
      <w:pPr>
        <w:pStyle w:val="7"/>
        <w:spacing w:line="360" w:lineRule="auto"/>
        <w:ind w:firstLine="480" w:firstLineChars="200"/>
        <w:jc w:val="both"/>
        <w:rPr>
          <w:rFonts w:cs="阿里巴巴普惠体 L" w:asciiTheme="majorEastAsia" w:hAnsiTheme="majorEastAsia" w:eastAsiaTheme="majorEastAsia"/>
        </w:rPr>
      </w:pPr>
      <w:r>
        <w:rPr>
          <w:rFonts w:hint="eastAsia" w:cs="阿里巴巴普惠体 L" w:asciiTheme="majorEastAsia" w:hAnsiTheme="majorEastAsia" w:eastAsiaTheme="majorEastAsia"/>
        </w:rPr>
        <w:t>在此期间，该市还通过设置建筑容积率（FAR，根据项目区域周围的社会功能，所有权和现有基础设施设置不同建筑开发强度的配额）来制定了土地使用法规，并限制城市内的新建筑供应来建立一个允许政府从新发展中产生大量收入的政策环境。除了有利的监管和政策环境外，</w:t>
      </w:r>
      <w:r>
        <w:rPr>
          <w:rFonts w:cs="阿里巴巴普惠体 L" w:asciiTheme="majorEastAsia" w:hAnsiTheme="majorEastAsia" w:eastAsiaTheme="majorEastAsia"/>
        </w:rPr>
        <w:t>圣保罗</w:t>
      </w:r>
      <w:r>
        <w:rPr>
          <w:rFonts w:hint="eastAsia" w:cs="阿里巴巴普惠体 L" w:asciiTheme="majorEastAsia" w:hAnsiTheme="majorEastAsia" w:eastAsiaTheme="majorEastAsia"/>
        </w:rPr>
        <w:t xml:space="preserve">蓬勃发展的房地产市场，私人投资者对UOC地区的兴趣，强大的机构支持和透明的流程确保了在该地区的投资得以实施，这些都是使该城市成功开展LVC的有利条件。 </w:t>
      </w:r>
    </w:p>
    <w:p>
      <w:pPr>
        <w:pStyle w:val="7"/>
        <w:spacing w:before="63" w:after="63"/>
        <w:jc w:val="both"/>
        <w:rPr>
          <w:rFonts w:ascii="阿里巴巴普惠体 L" w:hAnsi="阿里巴巴普惠体 L" w:eastAsia="阿里巴巴普惠体 L" w:cs="阿里巴巴普惠体 L"/>
          <w:b/>
          <w:sz w:val="28"/>
          <w:szCs w:val="28"/>
          <w:u w:val="single"/>
        </w:rPr>
      </w:pPr>
      <w:r>
        <w:rPr>
          <w:rFonts w:hint="eastAsia" w:ascii="阿里巴巴普惠体 L" w:hAnsi="阿里巴巴普惠体 L" w:eastAsia="阿里巴巴普惠体 L" w:cs="阿里巴巴普惠体 L"/>
          <w:b/>
          <w:sz w:val="28"/>
          <w:szCs w:val="28"/>
          <w:u w:val="single"/>
        </w:rPr>
        <w:t>4.1.2 正在进行中的土地价值捕获</w:t>
      </w:r>
    </w:p>
    <w:p>
      <w:pPr>
        <w:pStyle w:val="7"/>
        <w:spacing w:before="63" w:after="63"/>
        <w:jc w:val="both"/>
        <w:rPr>
          <w:rFonts w:ascii="阿里巴巴普惠体 L" w:hAnsi="阿里巴巴普惠体 L" w:eastAsia="阿里巴巴普惠体 L" w:cs="阿里巴巴普惠体 L"/>
          <w:b/>
          <w:bCs/>
          <w:sz w:val="28"/>
          <w:szCs w:val="28"/>
        </w:rPr>
      </w:pPr>
      <w:r>
        <w:rPr>
          <w:rFonts w:hint="eastAsia" w:ascii="阿里巴巴普惠体 L" w:hAnsi="阿里巴巴普惠体 L" w:eastAsia="阿里巴巴普惠体 L" w:cs="阿里巴巴普惠体 L"/>
          <w:b/>
          <w:bCs/>
          <w:sz w:val="28"/>
          <w:szCs w:val="28"/>
        </w:rPr>
        <w:t>政策，法律和机构中定义的CEPAC</w:t>
      </w:r>
    </w:p>
    <w:p>
      <w:pPr>
        <w:pStyle w:val="7"/>
        <w:spacing w:line="360" w:lineRule="auto"/>
        <w:ind w:firstLine="480" w:firstLineChars="200"/>
        <w:jc w:val="both"/>
        <w:rPr>
          <w:rFonts w:cs="阿里巴巴普惠体 L" w:asciiTheme="majorEastAsia" w:hAnsiTheme="majorEastAsia" w:eastAsiaTheme="majorEastAsia"/>
        </w:rPr>
      </w:pPr>
      <w:r>
        <w:rPr>
          <w:rFonts w:hint="eastAsia" w:cs="阿里巴巴普惠体 L" w:asciiTheme="majorEastAsia" w:hAnsiTheme="majorEastAsia" w:eastAsiaTheme="majorEastAsia"/>
        </w:rPr>
        <w:t>在</w:t>
      </w:r>
      <w:r>
        <w:rPr>
          <w:rFonts w:cs="阿里巴巴普惠体 L" w:asciiTheme="majorEastAsia" w:hAnsiTheme="majorEastAsia" w:eastAsiaTheme="majorEastAsia"/>
        </w:rPr>
        <w:t>圣保罗</w:t>
      </w:r>
      <w:r>
        <w:rPr>
          <w:rFonts w:hint="eastAsia" w:cs="阿里巴巴普惠体 L" w:asciiTheme="majorEastAsia" w:hAnsiTheme="majorEastAsia" w:eastAsiaTheme="majorEastAsia"/>
        </w:rPr>
        <w:t>实施的OODC收费的衍生LVC机制是“额外建设潜力证书（CEPAC）”，这是该市发行并通过在股市拍卖中出售作为收费形式。像OODC收费一样，CEPAC在2001年颁布的联邦城市法规中也得到了正式批准，尽管直到后来才实施（巴西政府2001）。根据该法律，CEPAC是地方联合城市运营项目的融资机制，该机制由《城市法规》监管，聚焦于改善特定城市地区社会和环境条件的干预措施，由公职人员，私人土地所有者和投资者联合落实。这些项目允许在特定的区域进行特殊的区划和建筑规则，包括在购买CEPAC时出售较高的FAR（巴西政府2001）。</w:t>
      </w:r>
    </w:p>
    <w:p>
      <w:pPr>
        <w:pStyle w:val="7"/>
        <w:spacing w:line="360" w:lineRule="auto"/>
        <w:ind w:firstLine="480" w:firstLineChars="200"/>
        <w:jc w:val="both"/>
        <w:rPr>
          <w:rFonts w:cs="阿里巴巴普惠体 L" w:asciiTheme="majorEastAsia" w:hAnsiTheme="majorEastAsia" w:eastAsiaTheme="majorEastAsia"/>
        </w:rPr>
      </w:pPr>
      <w:r>
        <w:rPr>
          <w:rFonts w:hint="eastAsia" w:cs="阿里巴巴普惠体 L" w:asciiTheme="majorEastAsia" w:hAnsiTheme="majorEastAsia" w:eastAsiaTheme="majorEastAsia"/>
        </w:rPr>
        <w:t>土地增值通过CEPAC的区划变化（或上空开发权-在一块土地上开发强度的许可）来获得，这增加了土地的货币价值并提供了在该地区公共项目开发所需的收入（Sandroni 2010）。随着基础设施、社会住房和其他发展项目的建设，每平方英尺土地的价值趋于上升，并且通过发布新的CEPAC，该市不仅可以从区划调整中获取土地价值的增长，而且还可以部分收回在土地投资的前期准备金。在这种方式下，CEPAC的估值是基于土地的初始成本加上根据FAR出售的预计创造的土地价值（Germán2018）。通过出售CEPAC所获得的收入将划归特定的城市运营基金中，该基金只能用于投资OUC项目区域中建议的预定干预措施项目。这些地区是市政府论证选取的他们认为最需要房地产开发的地区（公共和私人利益相关者都可以参与这项决策）。CEPAC的所有者可以将费用转换为OUC区域中的额外建筑开发权，也可以在股票市场中转售。由于CEPAC是证券，因此受到巴西证券交易委员会（CVM）的监管，以确保CEPAC出售过程和OUC地区基础设施建设的透明性（CVM 2003）。</w:t>
      </w:r>
    </w:p>
    <w:p>
      <w:pPr>
        <w:pStyle w:val="7"/>
        <w:spacing w:line="360" w:lineRule="auto"/>
        <w:ind w:firstLine="480" w:firstLineChars="200"/>
        <w:jc w:val="both"/>
        <w:rPr>
          <w:rFonts w:cs="阿里巴巴普惠体 L" w:asciiTheme="majorEastAsia" w:hAnsiTheme="majorEastAsia" w:eastAsiaTheme="majorEastAsia"/>
        </w:rPr>
      </w:pPr>
      <w:r>
        <w:rPr>
          <w:rFonts w:hint="eastAsia" w:cs="阿里巴巴普惠体 L" w:asciiTheme="majorEastAsia" w:hAnsiTheme="majorEastAsia" w:eastAsiaTheme="majorEastAsia"/>
        </w:rPr>
        <w:t>尽管自1990年以来就已经在巴西应用了联合城市运营项目，但CEPAC为OUC项目提供资金的首次使用则是在2004年《城市法规》通过之后，</w:t>
      </w:r>
      <w:r>
        <w:rPr>
          <w:rFonts w:cs="阿里巴巴普惠体 L" w:asciiTheme="majorEastAsia" w:hAnsiTheme="majorEastAsia" w:eastAsiaTheme="majorEastAsia"/>
        </w:rPr>
        <w:t>圣保罗</w:t>
      </w:r>
      <w:r>
        <w:rPr>
          <w:rFonts w:hint="eastAsia" w:cs="阿里巴巴普惠体 L" w:asciiTheme="majorEastAsia" w:hAnsiTheme="majorEastAsia" w:eastAsiaTheme="majorEastAsia"/>
        </w:rPr>
        <w:t>的ÁguaEspraiada城市运营（OUCAE） 项目。</w:t>
      </w:r>
    </w:p>
    <w:p>
      <w:pPr>
        <w:pStyle w:val="7"/>
        <w:spacing w:before="63" w:after="63"/>
        <w:jc w:val="both"/>
        <w:rPr>
          <w:rFonts w:ascii="阿里巴巴普惠体 L" w:hAnsi="阿里巴巴普惠体 L" w:eastAsia="阿里巴巴普惠体 L" w:cs="阿里巴巴普惠体 L"/>
          <w:sz w:val="28"/>
          <w:szCs w:val="28"/>
        </w:rPr>
      </w:pPr>
      <w:r>
        <w:rPr>
          <w:rFonts w:ascii="阿里巴巴普惠体 L" w:hAnsi="阿里巴巴普惠体 L" w:eastAsia="阿里巴巴普惠体 L" w:cs="阿里巴巴普惠体 L"/>
        </w:rPr>
        <w:drawing>
          <wp:inline distT="0" distB="0" distL="0" distR="0">
            <wp:extent cx="5486400" cy="24422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486400" cy="2442503"/>
                    </a:xfrm>
                    <a:prstGeom prst="rect">
                      <a:avLst/>
                    </a:prstGeom>
                  </pic:spPr>
                </pic:pic>
              </a:graphicData>
            </a:graphic>
          </wp:inline>
        </w:drawing>
      </w:r>
    </w:p>
    <w:p>
      <w:pPr>
        <w:pStyle w:val="7"/>
        <w:spacing w:before="63" w:after="63"/>
        <w:jc w:val="both"/>
        <w:rPr>
          <w:rFonts w:ascii="阿里巴巴普惠体 L" w:hAnsi="阿里巴巴普惠体 L" w:eastAsia="阿里巴巴普惠体 L" w:cs="阿里巴巴普惠体 L"/>
          <w:b/>
          <w:i/>
          <w:sz w:val="28"/>
          <w:szCs w:val="28"/>
        </w:rPr>
      </w:pPr>
      <w:r>
        <w:rPr>
          <w:rFonts w:hint="eastAsia" w:ascii="阿里巴巴普惠体 L" w:hAnsi="阿里巴巴普惠体 L" w:eastAsia="阿里巴巴普惠体 L" w:cs="阿里巴巴普惠体 L"/>
          <w:b/>
          <w:i/>
          <w:sz w:val="28"/>
          <w:szCs w:val="28"/>
        </w:rPr>
        <w:t>图2、联合城市运行的CEPAC运行机制</w:t>
      </w:r>
    </w:p>
    <w:p>
      <w:pPr>
        <w:pStyle w:val="7"/>
        <w:spacing w:line="360" w:lineRule="auto"/>
        <w:ind w:firstLine="480" w:firstLineChars="200"/>
        <w:jc w:val="both"/>
        <w:rPr>
          <w:rFonts w:cs="阿里巴巴普惠体 L" w:asciiTheme="majorEastAsia" w:hAnsiTheme="majorEastAsia" w:eastAsiaTheme="majorEastAsia"/>
        </w:rPr>
      </w:pPr>
      <w:r>
        <w:rPr>
          <w:rFonts w:hint="eastAsia" w:cs="阿里巴巴普惠体 L" w:asciiTheme="majorEastAsia" w:hAnsiTheme="majorEastAsia" w:eastAsiaTheme="majorEastAsia"/>
        </w:rPr>
        <w:t>值得一提的是，CEPAC相关的开发项目使物业税收入相对于开发前的基础水平增加了2.7倍至4.4倍（Biderman et al. 2006； Sandroni，2010）。此外，由于加入了土地价值捕获机制在战略总体规划和规划法律中的参与性要求，该市增加了收入，提高了土地管理效率并促进了社会公平（Sandroni 2011a，2011b）。这包括在项目区域为低收入居民保留一部分LVC支出和土地，并倡导公众参与性过程来制定投资优先级和监控支出。没有这种参与性的过程，失败就可能发生，正如2004年法里亚利马城市运营（FLUO）所看到的那样，当时大多数可开发的潜在土地已经通过OODC机制售出，因此投资者就没有再购买CEPAC的需求。此外，CEPAC在附近的Água Espraiada地区价格较便宜，因此一些投资从FLUO地区转移。整个城市不同开发项目之间的协调，现有条件的分析以及目标的协调是避免有害竞争和结果不均衡的关键。能力建设是该市用来加强管理整个过程所需的专业知识的另一种工具。然而，对能力建设的投资并非没有风险，正如新当选的</w:t>
      </w:r>
      <w:r>
        <w:rPr>
          <w:rFonts w:cs="阿里巴巴普惠体 L" w:asciiTheme="majorEastAsia" w:hAnsiTheme="majorEastAsia" w:eastAsiaTheme="majorEastAsia"/>
        </w:rPr>
        <w:t>圣保罗</w:t>
      </w:r>
      <w:r>
        <w:rPr>
          <w:rFonts w:hint="eastAsia" w:cs="阿里巴巴普惠体 L" w:asciiTheme="majorEastAsia" w:hAnsiTheme="majorEastAsia" w:eastAsiaTheme="majorEastAsia"/>
        </w:rPr>
        <w:t>市长对CEPAC的做法持批评态度时所看到的那样，这导致金融市场对此失去信心（Kim 2018）。</w:t>
      </w:r>
    </w:p>
    <w:p>
      <w:pPr>
        <w:pStyle w:val="7"/>
        <w:spacing w:before="63" w:after="63"/>
        <w:jc w:val="both"/>
        <w:rPr>
          <w:rFonts w:ascii="阿里巴巴普惠体 L" w:hAnsi="阿里巴巴普惠体 L" w:eastAsia="阿里巴巴普惠体 L" w:cs="阿里巴巴普惠体 L"/>
          <w:b/>
          <w:sz w:val="28"/>
          <w:szCs w:val="28"/>
          <w:u w:val="single"/>
        </w:rPr>
      </w:pPr>
      <w:r>
        <w:rPr>
          <w:rFonts w:hint="eastAsia" w:ascii="阿里巴巴普惠体 L" w:hAnsi="阿里巴巴普惠体 L" w:eastAsia="阿里巴巴普惠体 L" w:cs="阿里巴巴普惠体 L"/>
          <w:b/>
          <w:sz w:val="28"/>
          <w:szCs w:val="28"/>
          <w:u w:val="single"/>
        </w:rPr>
        <w:t>CEPAC在</w:t>
      </w:r>
      <w:bookmarkStart w:id="0" w:name="_Hlk32575056"/>
      <w:r>
        <w:rPr>
          <w:rFonts w:hint="eastAsia" w:ascii="阿里巴巴普惠体 L" w:hAnsi="阿里巴巴普惠体 L" w:eastAsia="阿里巴巴普惠体 L" w:cs="阿里巴巴普惠体 L"/>
          <w:b/>
          <w:sz w:val="28"/>
          <w:szCs w:val="28"/>
          <w:u w:val="single"/>
        </w:rPr>
        <w:t>Água Espraiada</w:t>
      </w:r>
      <w:bookmarkEnd w:id="0"/>
      <w:r>
        <w:rPr>
          <w:rFonts w:hint="eastAsia" w:ascii="阿里巴巴普惠体 L" w:hAnsi="阿里巴巴普惠体 L" w:eastAsia="阿里巴巴普惠体 L" w:cs="阿里巴巴普惠体 L"/>
          <w:b/>
          <w:sz w:val="28"/>
          <w:szCs w:val="28"/>
          <w:u w:val="single"/>
        </w:rPr>
        <w:t>联合城市运营项目中的应用</w:t>
      </w:r>
    </w:p>
    <w:p>
      <w:pPr>
        <w:pStyle w:val="7"/>
        <w:spacing w:line="360" w:lineRule="auto"/>
        <w:ind w:firstLine="480" w:firstLineChars="200"/>
        <w:jc w:val="both"/>
        <w:rPr>
          <w:rFonts w:cs="阿里巴巴普惠体 L" w:asciiTheme="majorEastAsia" w:hAnsiTheme="majorEastAsia" w:eastAsiaTheme="majorEastAsia"/>
        </w:rPr>
      </w:pPr>
      <w:r>
        <w:rPr>
          <w:rFonts w:cs="阿里巴巴普惠体 L" w:asciiTheme="majorEastAsia" w:hAnsiTheme="majorEastAsia" w:eastAsiaTheme="majorEastAsia"/>
        </w:rPr>
        <w:t>圣保罗</w:t>
      </w:r>
      <w:r>
        <w:rPr>
          <w:rFonts w:hint="eastAsia" w:cs="阿里巴巴普惠体 L" w:asciiTheme="majorEastAsia" w:hAnsiTheme="majorEastAsia" w:eastAsiaTheme="majorEastAsia"/>
        </w:rPr>
        <w:t>创新利用CEPAC，将公平目标纳入Á</w:t>
      </w:r>
      <w:r>
        <w:rPr>
          <w:rFonts w:cs="阿里巴巴普惠体 L" w:asciiTheme="majorEastAsia" w:hAnsiTheme="majorEastAsia" w:eastAsiaTheme="majorEastAsia"/>
        </w:rPr>
        <w:t>gua Espraiada</w:t>
      </w:r>
      <w:r>
        <w:rPr>
          <w:rFonts w:hint="eastAsia" w:cs="阿里巴巴普惠体 L" w:asciiTheme="majorEastAsia" w:hAnsiTheme="majorEastAsia" w:eastAsiaTheme="majorEastAsia"/>
        </w:rPr>
        <w:t>（瓜埃斯普拉亚达）项目的概念中，尽管结果有好有坏。在Á</w:t>
      </w:r>
      <w:r>
        <w:rPr>
          <w:rFonts w:cs="阿里巴巴普惠体 L" w:asciiTheme="majorEastAsia" w:hAnsiTheme="majorEastAsia" w:eastAsiaTheme="majorEastAsia"/>
        </w:rPr>
        <w:t>gua Espraiada</w:t>
      </w:r>
      <w:r>
        <w:rPr>
          <w:rFonts w:hint="eastAsia" w:cs="阿里巴巴普惠体 L" w:asciiTheme="majorEastAsia" w:hAnsiTheme="majorEastAsia" w:eastAsiaTheme="majorEastAsia"/>
        </w:rPr>
        <w:t>城市运营项目（O</w:t>
      </w:r>
      <w:r>
        <w:rPr>
          <w:rFonts w:cs="阿里巴巴普惠体 L" w:asciiTheme="majorEastAsia" w:hAnsiTheme="majorEastAsia" w:eastAsiaTheme="majorEastAsia"/>
        </w:rPr>
        <w:t>UCAE</w:t>
      </w:r>
      <w:r>
        <w:rPr>
          <w:rFonts w:hint="eastAsia" w:cs="阿里巴巴普惠体 L" w:asciiTheme="majorEastAsia" w:hAnsiTheme="majorEastAsia" w:eastAsiaTheme="majorEastAsia"/>
        </w:rPr>
        <w:t>）之前，Á</w:t>
      </w:r>
      <w:r>
        <w:rPr>
          <w:rFonts w:cs="阿里巴巴普惠体 L" w:asciiTheme="majorEastAsia" w:hAnsiTheme="majorEastAsia" w:eastAsiaTheme="majorEastAsia"/>
        </w:rPr>
        <w:t>gua Espraiada</w:t>
      </w:r>
      <w:r>
        <w:rPr>
          <w:rFonts w:hint="eastAsia" w:cs="阿里巴巴普惠体 L" w:asciiTheme="majorEastAsia" w:hAnsiTheme="majorEastAsia" w:eastAsiaTheme="majorEastAsia"/>
        </w:rPr>
        <w:t>地区高度异质，是临近高地价商业区的就是低密度片区，散布着临河而建的不规则的定居点。河流一侧是法里亚利马大道（</w:t>
      </w:r>
      <w:r>
        <w:rPr>
          <w:rFonts w:cs="阿里巴巴普惠体 L" w:asciiTheme="majorEastAsia" w:hAnsiTheme="majorEastAsia" w:eastAsiaTheme="majorEastAsia"/>
        </w:rPr>
        <w:t>Faria Lima Avenue</w:t>
      </w:r>
      <w:r>
        <w:rPr>
          <w:rFonts w:hint="eastAsia" w:cs="阿里巴巴普惠体 L" w:asciiTheme="majorEastAsia" w:hAnsiTheme="majorEastAsia" w:eastAsiaTheme="majorEastAsia"/>
        </w:rPr>
        <w:t>）商业中心，对岸是有工厂和大型工业厂房的工业区。在贫民区，自1</w:t>
      </w:r>
      <w:r>
        <w:rPr>
          <w:rFonts w:cs="阿里巴巴普惠体 L" w:asciiTheme="majorEastAsia" w:hAnsiTheme="majorEastAsia" w:eastAsiaTheme="majorEastAsia"/>
        </w:rPr>
        <w:t>970</w:t>
      </w:r>
      <w:r>
        <w:rPr>
          <w:rFonts w:hint="eastAsia" w:cs="阿里巴巴普惠体 L" w:asciiTheme="majorEastAsia" w:hAnsiTheme="majorEastAsia" w:eastAsiaTheme="majorEastAsia"/>
        </w:rPr>
        <w:t>年代以来，没有排水设施的非正规和无规则的住房，一直占据着Á</w:t>
      </w:r>
      <w:r>
        <w:rPr>
          <w:rFonts w:cs="阿里巴巴普惠体 L" w:asciiTheme="majorEastAsia" w:hAnsiTheme="majorEastAsia" w:eastAsiaTheme="majorEastAsia"/>
        </w:rPr>
        <w:t>gua Espraiada</w:t>
      </w:r>
      <w:r>
        <w:rPr>
          <w:rFonts w:hint="eastAsia" w:cs="阿里巴巴普惠体 L" w:asciiTheme="majorEastAsia" w:hAnsiTheme="majorEastAsia" w:eastAsiaTheme="majorEastAsia"/>
        </w:rPr>
        <w:t>河流域。</w:t>
      </w:r>
    </w:p>
    <w:p>
      <w:pPr>
        <w:pStyle w:val="7"/>
        <w:spacing w:line="360" w:lineRule="auto"/>
        <w:ind w:firstLine="480" w:firstLineChars="200"/>
        <w:jc w:val="both"/>
        <w:rPr>
          <w:rFonts w:cs="阿里巴巴普惠体 L" w:asciiTheme="majorEastAsia" w:hAnsiTheme="majorEastAsia" w:eastAsiaTheme="majorEastAsia"/>
        </w:rPr>
      </w:pPr>
      <w:r>
        <w:rPr>
          <w:rFonts w:cs="阿里巴巴普惠体 L" w:asciiTheme="majorEastAsia" w:hAnsiTheme="majorEastAsia" w:eastAsiaTheme="majorEastAsia"/>
        </w:rPr>
        <w:drawing>
          <wp:inline distT="0" distB="0" distL="0" distR="0">
            <wp:extent cx="5486400" cy="3084195"/>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486400" cy="3084195"/>
                    </a:xfrm>
                    <a:prstGeom prst="rect">
                      <a:avLst/>
                    </a:prstGeom>
                    <a:noFill/>
                    <a:ln>
                      <a:noFill/>
                    </a:ln>
                  </pic:spPr>
                </pic:pic>
              </a:graphicData>
            </a:graphic>
          </wp:inline>
        </w:drawing>
      </w:r>
    </w:p>
    <w:p>
      <w:pPr>
        <w:pStyle w:val="7"/>
        <w:spacing w:before="63" w:after="63"/>
        <w:jc w:val="both"/>
        <w:rPr>
          <w:rFonts w:ascii="阿里巴巴普惠体 L" w:hAnsi="阿里巴巴普惠体 L" w:eastAsia="阿里巴巴普惠体 L" w:cs="阿里巴巴普惠体 L"/>
          <w:b/>
          <w:i/>
          <w:sz w:val="28"/>
          <w:szCs w:val="28"/>
        </w:rPr>
      </w:pPr>
      <w:r>
        <w:rPr>
          <w:rFonts w:hint="eastAsia" w:ascii="阿里巴巴普惠体 L" w:hAnsi="阿里巴巴普惠体 L" w:eastAsia="阿里巴巴普惠体 L" w:cs="阿里巴巴普惠体 L"/>
          <w:b/>
          <w:i/>
          <w:sz w:val="28"/>
          <w:szCs w:val="28"/>
        </w:rPr>
        <w:t>图3、按家庭收入和已完成干预的OUCAE地区空间特征</w:t>
      </w:r>
    </w:p>
    <w:p>
      <w:pPr>
        <w:pStyle w:val="7"/>
        <w:spacing w:before="63" w:after="63"/>
        <w:jc w:val="both"/>
        <w:rPr>
          <w:rFonts w:ascii="阿里巴巴普惠体 L" w:hAnsi="阿里巴巴普惠体 L" w:eastAsia="阿里巴巴普惠体 L" w:cs="阿里巴巴普惠体 L"/>
          <w:b/>
          <w:i/>
          <w:sz w:val="28"/>
          <w:szCs w:val="28"/>
        </w:rPr>
      </w:pPr>
      <w:r>
        <w:rPr>
          <w:rFonts w:hint="eastAsia" w:ascii="阿里巴巴普惠体 L" w:hAnsi="阿里巴巴普惠体 L" w:eastAsia="阿里巴巴普惠体 L" w:cs="阿里巴巴普惠体 L"/>
          <w:b/>
          <w:i/>
          <w:sz w:val="28"/>
          <w:szCs w:val="28"/>
        </w:rPr>
        <w:t>图：作者自绘，基于巴西2</w:t>
      </w:r>
      <w:r>
        <w:rPr>
          <w:rFonts w:ascii="阿里巴巴普惠体 L" w:hAnsi="阿里巴巴普惠体 L" w:eastAsia="阿里巴巴普惠体 L" w:cs="阿里巴巴普惠体 L"/>
          <w:b/>
          <w:i/>
          <w:sz w:val="28"/>
          <w:szCs w:val="28"/>
        </w:rPr>
        <w:t>010</w:t>
      </w:r>
      <w:r>
        <w:rPr>
          <w:rFonts w:hint="eastAsia" w:ascii="阿里巴巴普惠体 L" w:hAnsi="阿里巴巴普惠体 L" w:eastAsia="阿里巴巴普惠体 L" w:cs="阿里巴巴普惠体 L"/>
          <w:b/>
          <w:i/>
          <w:sz w:val="28"/>
          <w:szCs w:val="28"/>
        </w:rPr>
        <w:t>年人口普查</w:t>
      </w:r>
    </w:p>
    <w:p>
      <w:pPr>
        <w:pStyle w:val="7"/>
        <w:spacing w:line="360" w:lineRule="auto"/>
        <w:ind w:firstLine="480" w:firstLineChars="200"/>
        <w:jc w:val="both"/>
        <w:rPr>
          <w:rFonts w:cs="阿里巴巴普惠体 L" w:asciiTheme="majorEastAsia" w:hAnsiTheme="majorEastAsia" w:eastAsiaTheme="majorEastAsia"/>
        </w:rPr>
      </w:pPr>
      <w:r>
        <w:rPr>
          <w:rFonts w:hint="eastAsia" w:cs="阿里巴巴普惠体 L" w:asciiTheme="majorEastAsia" w:hAnsiTheme="majorEastAsia" w:eastAsiaTheme="majorEastAsia"/>
        </w:rPr>
        <w:t>Á</w:t>
      </w:r>
      <w:r>
        <w:rPr>
          <w:rFonts w:cs="阿里巴巴普惠体 L" w:asciiTheme="majorEastAsia" w:hAnsiTheme="majorEastAsia" w:eastAsiaTheme="majorEastAsia"/>
        </w:rPr>
        <w:t>gua Espraiada</w:t>
      </w:r>
      <w:r>
        <w:rPr>
          <w:rFonts w:hint="eastAsia" w:cs="阿里巴巴普惠体 L" w:asciiTheme="majorEastAsia" w:hAnsiTheme="majorEastAsia" w:eastAsiaTheme="majorEastAsia"/>
        </w:rPr>
        <w:t>城市运营项目旨在解决地区的非正规住房以及排水问题（将出售CEPAC所得收入用于公共基础设施再投资），同时促进在法利亚利马附近的城市发展。该项目在2</w:t>
      </w:r>
      <w:r>
        <w:rPr>
          <w:rFonts w:cs="阿里巴巴普惠体 L" w:asciiTheme="majorEastAsia" w:hAnsiTheme="majorEastAsia" w:eastAsiaTheme="majorEastAsia"/>
        </w:rPr>
        <w:t>001</w:t>
      </w:r>
      <w:r>
        <w:rPr>
          <w:rFonts w:hint="eastAsia" w:cs="阿里巴巴普惠体 L" w:asciiTheme="majorEastAsia" w:hAnsiTheme="majorEastAsia" w:eastAsiaTheme="majorEastAsia"/>
        </w:rPr>
        <w:t>年获批，经巴西证券交易委员会（</w:t>
      </w:r>
      <w:r>
        <w:rPr>
          <w:rFonts w:cs="阿里巴巴普惠体 L" w:asciiTheme="majorEastAsia" w:hAnsiTheme="majorEastAsia" w:eastAsiaTheme="majorEastAsia"/>
        </w:rPr>
        <w:t>Brazilian Securities and Exchange Commission</w:t>
      </w:r>
      <w:r>
        <w:rPr>
          <w:rFonts w:hint="eastAsia" w:cs="阿里巴巴普惠体 L" w:asciiTheme="majorEastAsia" w:hAnsiTheme="majorEastAsia" w:eastAsiaTheme="majorEastAsia"/>
        </w:rPr>
        <w:t>）评审CEPAC，并对地区环境影响进行研究后，于2</w:t>
      </w:r>
      <w:r>
        <w:rPr>
          <w:rFonts w:cs="阿里巴巴普惠体 L" w:asciiTheme="majorEastAsia" w:hAnsiTheme="majorEastAsia" w:eastAsiaTheme="majorEastAsia"/>
        </w:rPr>
        <w:t>004</w:t>
      </w:r>
      <w:r>
        <w:rPr>
          <w:rFonts w:hint="eastAsia" w:cs="阿里巴巴普惠体 L" w:asciiTheme="majorEastAsia" w:hAnsiTheme="majorEastAsia" w:eastAsiaTheme="majorEastAsia"/>
        </w:rPr>
        <w:t>年开始实施。O</w:t>
      </w:r>
      <w:r>
        <w:rPr>
          <w:rFonts w:cs="阿里巴巴普惠体 L" w:asciiTheme="majorEastAsia" w:hAnsiTheme="majorEastAsia" w:eastAsiaTheme="majorEastAsia"/>
        </w:rPr>
        <w:t>UCAE</w:t>
      </w:r>
      <w:r>
        <w:rPr>
          <w:rFonts w:hint="eastAsia" w:cs="阿里巴巴普惠体 L" w:asciiTheme="majorEastAsia" w:hAnsiTheme="majorEastAsia" w:eastAsiaTheme="majorEastAsia"/>
        </w:rPr>
        <w:t>概况了两项基本干预措施：道路和河流排水设施，包括标志性的Octavio Frias de Oliveira大桥（“斜拉桥”）的建设，以及8</w:t>
      </w:r>
      <w:r>
        <w:rPr>
          <w:rFonts w:cs="阿里巴巴普惠体 L" w:asciiTheme="majorEastAsia" w:hAnsiTheme="majorEastAsia" w:eastAsiaTheme="majorEastAsia"/>
        </w:rPr>
        <w:t>000</w:t>
      </w:r>
      <w:r>
        <w:rPr>
          <w:rFonts w:hint="eastAsia" w:cs="阿里巴巴普惠体 L" w:asciiTheme="majorEastAsia" w:hAnsiTheme="majorEastAsia" w:eastAsiaTheme="majorEastAsia"/>
        </w:rPr>
        <w:t>个位于洪水风险区的非正规房屋的重新安置（Fajersztajn，2019年采访）。此外，一些小型的项目包括公共基础设施的设置，如公园、公共学校和医疗中心。</w:t>
      </w:r>
    </w:p>
    <w:p>
      <w:pPr>
        <w:pStyle w:val="7"/>
        <w:spacing w:line="360" w:lineRule="auto"/>
        <w:ind w:firstLine="480" w:firstLineChars="200"/>
        <w:jc w:val="both"/>
        <w:rPr>
          <w:rFonts w:cs="阿里巴巴普惠体 L" w:asciiTheme="majorEastAsia" w:hAnsiTheme="majorEastAsia" w:eastAsiaTheme="majorEastAsia"/>
        </w:rPr>
      </w:pPr>
      <w:r>
        <w:rPr>
          <w:rFonts w:hint="eastAsia" w:cs="阿里巴巴普惠体 L" w:asciiTheme="majorEastAsia" w:hAnsiTheme="majorEastAsia" w:eastAsiaTheme="majorEastAsia"/>
        </w:rPr>
        <w:t>占地近1</w:t>
      </w:r>
      <w:r>
        <w:rPr>
          <w:rFonts w:cs="阿里巴巴普惠体 L" w:asciiTheme="majorEastAsia" w:hAnsiTheme="majorEastAsia" w:eastAsiaTheme="majorEastAsia"/>
        </w:rPr>
        <w:t>400</w:t>
      </w:r>
      <w:r>
        <w:rPr>
          <w:rFonts w:hint="eastAsia" w:cs="阿里巴巴普惠体 L" w:asciiTheme="majorEastAsia" w:hAnsiTheme="majorEastAsia" w:eastAsiaTheme="majorEastAsia"/>
        </w:rPr>
        <w:t>公顷，Á</w:t>
      </w:r>
      <w:r>
        <w:rPr>
          <w:rFonts w:cs="阿里巴巴普惠体 L" w:asciiTheme="majorEastAsia" w:hAnsiTheme="majorEastAsia" w:eastAsiaTheme="majorEastAsia"/>
        </w:rPr>
        <w:t>gua Espraiada</w:t>
      </w:r>
      <w:r>
        <w:rPr>
          <w:rFonts w:hint="eastAsia" w:cs="阿里巴巴普惠体 L" w:asciiTheme="majorEastAsia" w:hAnsiTheme="majorEastAsia" w:eastAsiaTheme="majorEastAsia"/>
        </w:rPr>
        <w:t>项目规模大且多样性强，不论是社会经济还是物质层面，都将是一个充满挑战的过程（Maleronka，2019年采访）。它包括六部分，其中四个是房地产投资的明确目标：贝里尼（</w:t>
      </w:r>
      <w:r>
        <w:rPr>
          <w:rFonts w:cs="阿里巴巴普惠体 L" w:asciiTheme="majorEastAsia" w:hAnsiTheme="majorEastAsia" w:eastAsiaTheme="majorEastAsia"/>
        </w:rPr>
        <w:t>Berrini</w:t>
      </w:r>
      <w:r>
        <w:rPr>
          <w:rFonts w:hint="eastAsia" w:cs="阿里巴巴普惠体 L" w:asciiTheme="majorEastAsia" w:hAnsiTheme="majorEastAsia" w:eastAsiaTheme="majorEastAsia"/>
        </w:rPr>
        <w:t>）、布鲁克林（</w:t>
      </w:r>
      <w:r>
        <w:rPr>
          <w:rFonts w:cs="阿里巴巴普惠体 L" w:asciiTheme="majorEastAsia" w:hAnsiTheme="majorEastAsia" w:eastAsiaTheme="majorEastAsia"/>
        </w:rPr>
        <w:t>Brooklin</w:t>
      </w:r>
      <w:r>
        <w:rPr>
          <w:rFonts w:hint="eastAsia" w:cs="阿里巴巴普惠体 L" w:asciiTheme="majorEastAsia" w:hAnsiTheme="majorEastAsia" w:eastAsiaTheme="majorEastAsia"/>
        </w:rPr>
        <w:t>）、楚克里扎丹（</w:t>
      </w:r>
      <w:r>
        <w:rPr>
          <w:rFonts w:cs="阿里巴巴普惠体 L" w:asciiTheme="majorEastAsia" w:hAnsiTheme="majorEastAsia" w:eastAsiaTheme="majorEastAsia"/>
        </w:rPr>
        <w:t>Chucri Zaidan</w:t>
      </w:r>
      <w:r>
        <w:rPr>
          <w:rFonts w:hint="eastAsia" w:cs="阿里巴巴普惠体 L" w:asciiTheme="majorEastAsia" w:hAnsiTheme="majorEastAsia" w:eastAsiaTheme="majorEastAsia"/>
        </w:rPr>
        <w:t>）和边际皮涅罗斯（</w:t>
      </w:r>
      <w:r>
        <w:rPr>
          <w:rFonts w:cs="阿里巴巴普惠体 L" w:asciiTheme="majorEastAsia" w:hAnsiTheme="majorEastAsia" w:eastAsiaTheme="majorEastAsia"/>
        </w:rPr>
        <w:t>Marginal Pinheiros</w:t>
      </w:r>
      <w:r>
        <w:rPr>
          <w:rFonts w:hint="eastAsia" w:cs="阿里巴巴普惠体 L" w:asciiTheme="majorEastAsia" w:hAnsiTheme="majorEastAsia" w:eastAsiaTheme="majorEastAsia"/>
        </w:rPr>
        <w:t>）。这些地区靠近法里亚利马大道，成为商业区扩展的极具吸引力的地区。另外两个是Jabaquara和Americanopolis，距离商业区较远，土地价值捕获潜力较低。即使一个C</w:t>
      </w:r>
      <w:r>
        <w:rPr>
          <w:rFonts w:cs="阿里巴巴普惠体 L" w:asciiTheme="majorEastAsia" w:hAnsiTheme="majorEastAsia" w:eastAsiaTheme="majorEastAsia"/>
        </w:rPr>
        <w:t>EPAC</w:t>
      </w:r>
      <w:r>
        <w:rPr>
          <w:rFonts w:hint="eastAsia" w:cs="阿里巴巴普惠体 L" w:asciiTheme="majorEastAsia" w:hAnsiTheme="majorEastAsia" w:eastAsiaTheme="majorEastAsia"/>
        </w:rPr>
        <w:t>等同于</w:t>
      </w:r>
      <w:r>
        <w:rPr>
          <w:rFonts w:cs="阿里巴巴普惠体 L" w:asciiTheme="majorEastAsia" w:hAnsiTheme="majorEastAsia" w:eastAsiaTheme="majorEastAsia"/>
        </w:rPr>
        <w:t>Jabaquara</w:t>
      </w:r>
      <w:r>
        <w:rPr>
          <w:rFonts w:hint="eastAsia" w:cs="阿里巴巴普惠体 L" w:asciiTheme="majorEastAsia" w:hAnsiTheme="majorEastAsia" w:eastAsiaTheme="majorEastAsia"/>
        </w:rPr>
        <w:t>地区建筑权的三倍，房地产开发商仍缺乏兴趣（Fonseca Ignatios，2019年采访）。距离商业区最远的美国城市地区，是社会住房投资的主要目标。</w:t>
      </w:r>
    </w:p>
    <w:p>
      <w:pPr>
        <w:pStyle w:val="7"/>
        <w:spacing w:line="360" w:lineRule="auto"/>
        <w:ind w:firstLine="480" w:firstLineChars="200"/>
        <w:jc w:val="both"/>
        <w:rPr>
          <w:rFonts w:cs="阿里巴巴普惠体 L" w:asciiTheme="majorEastAsia" w:hAnsiTheme="majorEastAsia" w:eastAsiaTheme="majorEastAsia"/>
        </w:rPr>
      </w:pPr>
      <w:r>
        <w:rPr>
          <w:rFonts w:hint="eastAsia" w:cs="阿里巴巴普惠体 L" w:asciiTheme="majorEastAsia" w:hAnsiTheme="majorEastAsia" w:eastAsiaTheme="majorEastAsia"/>
        </w:rPr>
        <w:t>对</w:t>
      </w:r>
      <w:r>
        <w:rPr>
          <w:rFonts w:cs="阿里巴巴普惠体 L" w:asciiTheme="majorEastAsia" w:hAnsiTheme="majorEastAsia" w:eastAsiaTheme="majorEastAsia"/>
        </w:rPr>
        <w:t>圣保罗</w:t>
      </w:r>
      <w:r>
        <w:rPr>
          <w:rFonts w:hint="eastAsia" w:cs="阿里巴巴普惠体 L" w:asciiTheme="majorEastAsia" w:hAnsiTheme="majorEastAsia" w:eastAsiaTheme="majorEastAsia"/>
        </w:rPr>
        <w:t>来说，O</w:t>
      </w:r>
      <w:r>
        <w:rPr>
          <w:rFonts w:cs="阿里巴巴普惠体 L" w:asciiTheme="majorEastAsia" w:hAnsiTheme="majorEastAsia" w:eastAsiaTheme="majorEastAsia"/>
        </w:rPr>
        <w:t>UCAE</w:t>
      </w:r>
      <w:r>
        <w:rPr>
          <w:rFonts w:hint="eastAsia" w:cs="阿里巴巴普惠体 L" w:asciiTheme="majorEastAsia" w:hAnsiTheme="majorEastAsia" w:eastAsiaTheme="majorEastAsia"/>
        </w:rPr>
        <w:t>最大的挑战是被贫民区占据的河流沿岸。更困难地是，当地许多道路被打断，形成阻隔与内城联系的城市结构。O</w:t>
      </w:r>
      <w:r>
        <w:rPr>
          <w:rFonts w:cs="阿里巴巴普惠体 L" w:asciiTheme="majorEastAsia" w:hAnsiTheme="majorEastAsia" w:eastAsiaTheme="majorEastAsia"/>
        </w:rPr>
        <w:t>UCAE</w:t>
      </w:r>
      <w:r>
        <w:rPr>
          <w:rFonts w:hint="eastAsia" w:cs="阿里巴巴普惠体 L" w:asciiTheme="majorEastAsia" w:hAnsiTheme="majorEastAsia" w:eastAsiaTheme="majorEastAsia"/>
        </w:rPr>
        <w:t>致力于通过修补道路、在河流外修建运河，以及为居住在河流沿岸的家庭提供社会及住房补助等措施来改善现状。为了资助这些干预措施，O</w:t>
      </w:r>
      <w:r>
        <w:rPr>
          <w:rFonts w:cs="阿里巴巴普惠体 L" w:asciiTheme="majorEastAsia" w:hAnsiTheme="majorEastAsia" w:eastAsiaTheme="majorEastAsia"/>
        </w:rPr>
        <w:t>UCAE</w:t>
      </w:r>
      <w:r>
        <w:rPr>
          <w:rFonts w:hint="eastAsia" w:cs="阿里巴巴普惠体 L" w:asciiTheme="majorEastAsia" w:hAnsiTheme="majorEastAsia" w:eastAsiaTheme="majorEastAsia"/>
        </w:rPr>
        <w:t>运用了新近合法化的C</w:t>
      </w:r>
      <w:r>
        <w:rPr>
          <w:rFonts w:cs="阿里巴巴普惠体 L" w:asciiTheme="majorEastAsia" w:hAnsiTheme="majorEastAsia" w:eastAsiaTheme="majorEastAsia"/>
        </w:rPr>
        <w:t>EPAC</w:t>
      </w:r>
      <w:r>
        <w:rPr>
          <w:rFonts w:hint="eastAsia" w:cs="阿里巴巴普惠体 L" w:asciiTheme="majorEastAsia" w:hAnsiTheme="majorEastAsia" w:eastAsiaTheme="majorEastAsia"/>
        </w:rPr>
        <w:t>机制。</w:t>
      </w:r>
    </w:p>
    <w:p>
      <w:pPr>
        <w:pStyle w:val="7"/>
        <w:spacing w:before="63" w:after="63"/>
        <w:jc w:val="both"/>
        <w:rPr>
          <w:rFonts w:ascii="阿里巴巴普惠体 L" w:hAnsi="阿里巴巴普惠体 L" w:eastAsia="阿里巴巴普惠体 L" w:cs="阿里巴巴普惠体 L"/>
          <w:sz w:val="28"/>
          <w:szCs w:val="28"/>
        </w:rPr>
      </w:pPr>
      <w:r>
        <w:rPr>
          <w:rFonts w:hint="eastAsia" w:ascii="阿里巴巴普惠体 L" w:hAnsi="阿里巴巴普惠体 L" w:eastAsia="阿里巴巴普惠体 L" w:cs="阿里巴巴普惠体 L"/>
          <w:sz w:val="28"/>
          <w:szCs w:val="28"/>
        </w:rPr>
        <w:drawing>
          <wp:inline distT="0" distB="0" distL="0" distR="0">
            <wp:extent cx="5486400" cy="36468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86400" cy="3646805"/>
                    </a:xfrm>
                    <a:prstGeom prst="rect">
                      <a:avLst/>
                    </a:prstGeom>
                    <a:noFill/>
                    <a:ln>
                      <a:noFill/>
                    </a:ln>
                  </pic:spPr>
                </pic:pic>
              </a:graphicData>
            </a:graphic>
          </wp:inline>
        </w:drawing>
      </w:r>
    </w:p>
    <w:p>
      <w:pPr>
        <w:pStyle w:val="7"/>
        <w:spacing w:before="63" w:after="63"/>
        <w:jc w:val="both"/>
        <w:rPr>
          <w:rFonts w:ascii="阿里巴巴普惠体 L" w:hAnsi="阿里巴巴普惠体 L" w:eastAsia="阿里巴巴普惠体 L" w:cs="阿里巴巴普惠体 L"/>
          <w:b/>
          <w:i/>
          <w:sz w:val="28"/>
          <w:szCs w:val="28"/>
        </w:rPr>
      </w:pPr>
      <w:r>
        <w:rPr>
          <w:rFonts w:hint="eastAsia" w:ascii="阿里巴巴普惠体 L" w:hAnsi="阿里巴巴普惠体 L" w:eastAsia="阿里巴巴普惠体 L" w:cs="阿里巴巴普惠体 L"/>
          <w:b/>
          <w:i/>
          <w:sz w:val="28"/>
          <w:szCs w:val="28"/>
        </w:rPr>
        <w:t>图4</w:t>
      </w:r>
      <w:r>
        <w:rPr>
          <w:rFonts w:ascii="阿里巴巴普惠体 L" w:hAnsi="阿里巴巴普惠体 L" w:eastAsia="阿里巴巴普惠体 L" w:cs="阿里巴巴普惠体 L"/>
          <w:b/>
          <w:i/>
          <w:sz w:val="28"/>
          <w:szCs w:val="28"/>
        </w:rPr>
        <w:t xml:space="preserve">.1 </w:t>
      </w:r>
      <w:r>
        <w:rPr>
          <w:rFonts w:hint="eastAsia" w:ascii="阿里巴巴普惠体 L" w:hAnsi="阿里巴巴普惠体 L" w:eastAsia="阿里巴巴普惠体 L" w:cs="阿里巴巴普惠体 L"/>
          <w:b/>
          <w:i/>
          <w:sz w:val="28"/>
          <w:szCs w:val="28"/>
        </w:rPr>
        <w:t>Roberto Marinho大道工程，有河流基础设施</w:t>
      </w:r>
    </w:p>
    <w:p>
      <w:pPr>
        <w:pStyle w:val="7"/>
        <w:spacing w:before="63" w:after="63"/>
        <w:jc w:val="both"/>
        <w:rPr>
          <w:rFonts w:ascii="阿里巴巴普惠体 L" w:hAnsi="阿里巴巴普惠体 L" w:eastAsia="阿里巴巴普惠体 L" w:cs="阿里巴巴普惠体 L"/>
          <w:b/>
          <w:i/>
          <w:sz w:val="28"/>
          <w:szCs w:val="28"/>
        </w:rPr>
      </w:pPr>
      <w:r>
        <w:rPr>
          <w:rFonts w:hint="eastAsia" w:ascii="阿里巴巴普惠体 L" w:hAnsi="阿里巴巴普惠体 L" w:eastAsia="阿里巴巴普惠体 L" w:cs="阿里巴巴普惠体 L"/>
          <w:b/>
          <w:i/>
          <w:sz w:val="28"/>
          <w:szCs w:val="28"/>
        </w:rPr>
        <w:t>图：</w:t>
      </w:r>
      <w:r>
        <w:rPr>
          <w:rFonts w:ascii="阿里巴巴普惠体 L" w:hAnsi="阿里巴巴普惠体 L" w:eastAsia="阿里巴巴普惠体 L" w:cs="阿里巴巴普惠体 L"/>
          <w:b/>
          <w:i/>
          <w:sz w:val="28"/>
          <w:szCs w:val="28"/>
        </w:rPr>
        <w:t>Rodrigo Gomes</w:t>
      </w:r>
    </w:p>
    <w:p>
      <w:pPr>
        <w:pStyle w:val="7"/>
        <w:spacing w:before="63" w:after="63"/>
        <w:jc w:val="both"/>
        <w:rPr>
          <w:rFonts w:ascii="阿里巴巴普惠体 L" w:hAnsi="阿里巴巴普惠体 L" w:eastAsia="阿里巴巴普惠体 L" w:cs="阿里巴巴普惠体 L"/>
          <w:sz w:val="28"/>
          <w:szCs w:val="28"/>
        </w:rPr>
      </w:pPr>
      <w:r>
        <w:rPr>
          <w:rFonts w:ascii="阿里巴巴普惠体 L" w:hAnsi="阿里巴巴普惠体 L" w:eastAsia="阿里巴巴普惠体 L" w:cs="阿里巴巴普惠体 L"/>
          <w:sz w:val="28"/>
          <w:szCs w:val="28"/>
        </w:rPr>
        <w:drawing>
          <wp:inline distT="0" distB="0" distL="0" distR="0">
            <wp:extent cx="4716145" cy="3098800"/>
            <wp:effectExtent l="0" t="0" r="825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16145" cy="3098800"/>
                    </a:xfrm>
                    <a:prstGeom prst="rect">
                      <a:avLst/>
                    </a:prstGeom>
                    <a:noFill/>
                    <a:ln>
                      <a:noFill/>
                    </a:ln>
                  </pic:spPr>
                </pic:pic>
              </a:graphicData>
            </a:graphic>
          </wp:inline>
        </w:drawing>
      </w:r>
    </w:p>
    <w:p>
      <w:pPr>
        <w:pStyle w:val="7"/>
        <w:spacing w:before="63" w:after="63"/>
        <w:jc w:val="both"/>
        <w:rPr>
          <w:rFonts w:ascii="阿里巴巴普惠体 L" w:hAnsi="阿里巴巴普惠体 L" w:eastAsia="阿里巴巴普惠体 L" w:cs="阿里巴巴普惠体 L"/>
          <w:b/>
          <w:i/>
          <w:sz w:val="28"/>
          <w:szCs w:val="28"/>
        </w:rPr>
      </w:pPr>
      <w:r>
        <w:rPr>
          <w:rFonts w:hint="eastAsia" w:ascii="阿里巴巴普惠体 L" w:hAnsi="阿里巴巴普惠体 L" w:eastAsia="阿里巴巴普惠体 L" w:cs="阿里巴巴普惠体 L"/>
          <w:b/>
          <w:i/>
          <w:sz w:val="28"/>
          <w:szCs w:val="28"/>
        </w:rPr>
        <w:t>图4</w:t>
      </w:r>
      <w:r>
        <w:rPr>
          <w:rFonts w:ascii="阿里巴巴普惠体 L" w:hAnsi="阿里巴巴普惠体 L" w:eastAsia="阿里巴巴普惠体 L" w:cs="阿里巴巴普惠体 L"/>
          <w:b/>
          <w:i/>
          <w:sz w:val="28"/>
          <w:szCs w:val="28"/>
        </w:rPr>
        <w:t xml:space="preserve">.2 </w:t>
      </w:r>
      <w:r>
        <w:rPr>
          <w:rFonts w:hint="eastAsia" w:ascii="阿里巴巴普惠体 L" w:hAnsi="阿里巴巴普惠体 L" w:eastAsia="阿里巴巴普惠体 L" w:cs="阿里巴巴普惠体 L"/>
          <w:b/>
          <w:i/>
          <w:sz w:val="28"/>
          <w:szCs w:val="28"/>
        </w:rPr>
        <w:t>Octavio Frias de Oliveira大桥（“斜拉桥”）</w:t>
      </w:r>
    </w:p>
    <w:p>
      <w:pPr>
        <w:pStyle w:val="7"/>
        <w:spacing w:before="63" w:after="63"/>
        <w:jc w:val="both"/>
        <w:rPr>
          <w:rFonts w:ascii="阿里巴巴普惠体 L" w:hAnsi="阿里巴巴普惠体 L" w:eastAsia="阿里巴巴普惠体 L" w:cs="阿里巴巴普惠体 L"/>
          <w:b/>
          <w:i/>
          <w:sz w:val="28"/>
          <w:szCs w:val="28"/>
        </w:rPr>
      </w:pPr>
      <w:r>
        <w:rPr>
          <w:rFonts w:hint="eastAsia" w:ascii="阿里巴巴普惠体 L" w:hAnsi="阿里巴巴普惠体 L" w:eastAsia="阿里巴巴普惠体 L" w:cs="阿里巴巴普惠体 L"/>
          <w:b/>
          <w:i/>
          <w:sz w:val="28"/>
          <w:szCs w:val="28"/>
        </w:rPr>
        <w:t>图：</w:t>
      </w:r>
      <w:r>
        <w:rPr>
          <w:rFonts w:ascii="阿里巴巴普惠体 L" w:hAnsi="阿里巴巴普惠体 L" w:eastAsia="阿里巴巴普惠体 L" w:cs="阿里巴巴普惠体 L"/>
          <w:b/>
          <w:i/>
          <w:sz w:val="28"/>
          <w:szCs w:val="28"/>
        </w:rPr>
        <w:t>Portal da Copa</w:t>
      </w:r>
    </w:p>
    <w:p>
      <w:pPr>
        <w:pStyle w:val="7"/>
        <w:spacing w:before="63" w:after="63"/>
        <w:jc w:val="both"/>
        <w:rPr>
          <w:rFonts w:ascii="阿里巴巴普惠体 L" w:hAnsi="阿里巴巴普惠体 L" w:eastAsia="阿里巴巴普惠体 L" w:cs="阿里巴巴普惠体 L"/>
          <w:b/>
          <w:sz w:val="32"/>
          <w:szCs w:val="32"/>
          <w:u w:val="single"/>
        </w:rPr>
      </w:pPr>
      <w:r>
        <w:rPr>
          <w:rFonts w:hint="eastAsia" w:ascii="阿里巴巴普惠体 L" w:hAnsi="阿里巴巴普惠体 L" w:eastAsia="阿里巴巴普惠体 L" w:cs="阿里巴巴普惠体 L"/>
          <w:b/>
          <w:sz w:val="32"/>
          <w:szCs w:val="32"/>
          <w:u w:val="single"/>
        </w:rPr>
        <w:t>4</w:t>
      </w:r>
      <w:r>
        <w:rPr>
          <w:rFonts w:ascii="阿里巴巴普惠体 L" w:hAnsi="阿里巴巴普惠体 L" w:eastAsia="阿里巴巴普惠体 L" w:cs="阿里巴巴普惠体 L"/>
          <w:b/>
          <w:sz w:val="32"/>
          <w:szCs w:val="32"/>
          <w:u w:val="single"/>
        </w:rPr>
        <w:t xml:space="preserve">.1.3. </w:t>
      </w:r>
      <w:r>
        <w:rPr>
          <w:rFonts w:hint="eastAsia" w:ascii="阿里巴巴普惠体 L" w:hAnsi="阿里巴巴普惠体 L" w:eastAsia="阿里巴巴普惠体 L" w:cs="阿里巴巴普惠体 L"/>
          <w:b/>
          <w:sz w:val="32"/>
          <w:szCs w:val="32"/>
          <w:u w:val="single"/>
        </w:rPr>
        <w:t>Água Espraiada城市运营项目的公平维度</w:t>
      </w:r>
    </w:p>
    <w:p>
      <w:pPr>
        <w:pStyle w:val="7"/>
        <w:spacing w:before="63" w:after="63"/>
        <w:jc w:val="both"/>
        <w:rPr>
          <w:rFonts w:ascii="阿里巴巴普惠体 L" w:hAnsi="阿里巴巴普惠体 L" w:eastAsia="阿里巴巴普惠体 L" w:cs="阿里巴巴普惠体 L"/>
          <w:b/>
          <w:sz w:val="28"/>
          <w:szCs w:val="28"/>
          <w:u w:val="single"/>
        </w:rPr>
      </w:pPr>
      <w:r>
        <w:rPr>
          <w:rFonts w:hint="eastAsia" w:ascii="阿里巴巴普惠体 L" w:hAnsi="阿里巴巴普惠体 L" w:eastAsia="阿里巴巴普惠体 L" w:cs="阿里巴巴普惠体 L"/>
          <w:b/>
          <w:sz w:val="28"/>
          <w:szCs w:val="28"/>
          <w:u w:val="single"/>
        </w:rPr>
        <w:t>服务设施改善</w:t>
      </w:r>
    </w:p>
    <w:p>
      <w:pPr>
        <w:pStyle w:val="7"/>
        <w:spacing w:line="360" w:lineRule="auto"/>
        <w:ind w:firstLine="480" w:firstLineChars="200"/>
        <w:jc w:val="both"/>
        <w:rPr>
          <w:rFonts w:cs="阿里巴巴普惠体 L" w:asciiTheme="majorEastAsia" w:hAnsiTheme="majorEastAsia" w:eastAsiaTheme="majorEastAsia"/>
        </w:rPr>
      </w:pPr>
      <w:r>
        <w:rPr>
          <w:rFonts w:hint="eastAsia" w:cs="阿里巴巴普惠体 L" w:asciiTheme="majorEastAsia" w:hAnsiTheme="majorEastAsia" w:eastAsiaTheme="majorEastAsia"/>
        </w:rPr>
        <w:t>2004年至2012年间拍卖的340万</w:t>
      </w:r>
      <w:r>
        <w:rPr>
          <w:rFonts w:cs="阿里巴巴普惠体 L" w:asciiTheme="majorEastAsia" w:hAnsiTheme="majorEastAsia" w:eastAsiaTheme="majorEastAsia"/>
        </w:rPr>
        <w:t>CEPAC</w:t>
      </w:r>
      <w:r>
        <w:rPr>
          <w:rFonts w:hint="eastAsia" w:cs="阿里巴巴普惠体 L" w:asciiTheme="majorEastAsia" w:hAnsiTheme="majorEastAsia" w:eastAsiaTheme="majorEastAsia"/>
        </w:rPr>
        <w:t>中的资源流入，总收入29亿巴西雷亚尔（相当于8.06亿美元【注4】），足够建设两座斜拉桥（（Real Parque综合体和Octavio Frias de Oliveira斜拉桥））连接</w:t>
      </w:r>
      <w:r>
        <w:rPr>
          <w:rFonts w:cs="阿里巴巴普惠体 L" w:asciiTheme="majorEastAsia" w:hAnsiTheme="majorEastAsia" w:eastAsiaTheme="majorEastAsia"/>
        </w:rPr>
        <w:t>Pinheiros</w:t>
      </w:r>
      <w:r>
        <w:rPr>
          <w:rFonts w:hint="eastAsia" w:cs="阿里巴巴普惠体 L" w:asciiTheme="majorEastAsia" w:hAnsiTheme="majorEastAsia" w:eastAsiaTheme="majorEastAsia"/>
        </w:rPr>
        <w:t>河两岸，建设6座社会住房建筑，以及地区内其他项目，共记录支出3</w:t>
      </w:r>
      <w:r>
        <w:rPr>
          <w:rFonts w:cs="阿里巴巴普惠体 L" w:asciiTheme="majorEastAsia" w:hAnsiTheme="majorEastAsia" w:eastAsiaTheme="majorEastAsia"/>
        </w:rPr>
        <w:t>7</w:t>
      </w:r>
      <w:r>
        <w:rPr>
          <w:rFonts w:hint="eastAsia" w:cs="阿里巴巴普惠体 L" w:asciiTheme="majorEastAsia" w:hAnsiTheme="majorEastAsia" w:eastAsiaTheme="majorEastAsia"/>
        </w:rPr>
        <w:t>亿巴西雷亚尔（</w:t>
      </w:r>
      <w:r>
        <w:rPr>
          <w:rFonts w:cs="阿里巴巴普惠体 L" w:asciiTheme="majorEastAsia" w:hAnsiTheme="majorEastAsia" w:eastAsiaTheme="majorEastAsia"/>
        </w:rPr>
        <w:t>圣保罗</w:t>
      </w:r>
      <w:r>
        <w:rPr>
          <w:rFonts w:hint="eastAsia" w:cs="阿里巴巴普惠体 L" w:asciiTheme="majorEastAsia" w:hAnsiTheme="majorEastAsia" w:eastAsiaTheme="majorEastAsia"/>
        </w:rPr>
        <w:t>市政厅-</w:t>
      </w:r>
      <w:r>
        <w:rPr>
          <w:rFonts w:cs="阿里巴巴普惠体 L" w:asciiTheme="majorEastAsia" w:hAnsiTheme="majorEastAsia" w:eastAsiaTheme="majorEastAsia"/>
        </w:rPr>
        <w:t>圣保罗</w:t>
      </w:r>
      <w:r>
        <w:rPr>
          <w:rFonts w:hint="eastAsia" w:cs="阿里巴巴普惠体 L" w:asciiTheme="majorEastAsia" w:hAnsiTheme="majorEastAsia" w:eastAsiaTheme="majorEastAsia"/>
        </w:rPr>
        <w:t>城镇化2019b）。罗伯托-马里尼奥（</w:t>
      </w:r>
      <w:r>
        <w:rPr>
          <w:rFonts w:cs="阿里巴巴普惠体 L" w:asciiTheme="majorEastAsia" w:hAnsiTheme="majorEastAsia" w:eastAsiaTheme="majorEastAsia"/>
        </w:rPr>
        <w:t>Roberto Marinho</w:t>
      </w:r>
      <w:r>
        <w:rPr>
          <w:rFonts w:hint="eastAsia" w:cs="阿里巴巴普惠体 L" w:asciiTheme="majorEastAsia" w:hAnsiTheme="majorEastAsia" w:eastAsiaTheme="majorEastAsia"/>
        </w:rPr>
        <w:t>）大道的实施，包括一条正式运河的修建（见图5），公共空间的投资（例如</w:t>
      </w:r>
      <w:r>
        <w:rPr>
          <w:rFonts w:cs="阿里巴巴普惠体 L" w:asciiTheme="majorEastAsia" w:hAnsiTheme="majorEastAsia" w:eastAsiaTheme="majorEastAsia"/>
        </w:rPr>
        <w:t>Parque Chuvico</w:t>
      </w:r>
      <w:r>
        <w:rPr>
          <w:rFonts w:hint="eastAsia" w:cs="阿里巴巴普惠体 L" w:asciiTheme="majorEastAsia" w:hAnsiTheme="majorEastAsia" w:eastAsiaTheme="majorEastAsia"/>
        </w:rPr>
        <w:t>）和地铁线部分延长，都代表了地区居民服务设施的改善。</w:t>
      </w:r>
    </w:p>
    <w:p>
      <w:pPr>
        <w:widowControl w:val="0"/>
        <w:spacing w:after="0" w:line="240" w:lineRule="auto"/>
        <w:jc w:val="both"/>
        <w:rPr>
          <w:rFonts w:ascii="阿里巴巴普惠体 L" w:hAnsi="阿里巴巴普惠体 L" w:eastAsia="阿里巴巴普惠体 L" w:cs="阿里巴巴普惠体 L"/>
          <w:kern w:val="2"/>
          <w:sz w:val="21"/>
          <w:szCs w:val="24"/>
        </w:rPr>
      </w:pPr>
      <w:r>
        <w:rPr>
          <w:rFonts w:hint="eastAsia" w:ascii="阿里巴巴普惠体 L" w:hAnsi="阿里巴巴普惠体 L" w:eastAsia="阿里巴巴普惠体 L" w:cs="阿里巴巴普惠体 L"/>
          <w:kern w:val="2"/>
          <w:sz w:val="21"/>
          <w:szCs w:val="24"/>
        </w:rPr>
        <w:t>【注4】以2018年的平均年汇率折合，R $ / US $ 3,6552。通过出售CEPAC筹集的总收入为29亿巴西雷亚尔，加上OUCAE基金的财务报酬，总价值达到39亿巴西雷亚尔。</w:t>
      </w:r>
    </w:p>
    <w:p>
      <w:pPr>
        <w:pStyle w:val="7"/>
        <w:spacing w:before="63" w:after="63"/>
        <w:jc w:val="both"/>
        <w:rPr>
          <w:rFonts w:ascii="阿里巴巴普惠体 L" w:hAnsi="阿里巴巴普惠体 L" w:eastAsia="阿里巴巴普惠体 L" w:cs="阿里巴巴普惠体 L"/>
          <w:sz w:val="28"/>
          <w:szCs w:val="28"/>
        </w:rPr>
      </w:pPr>
      <w:r>
        <w:rPr>
          <w:rFonts w:ascii="阿里巴巴普惠体 L" w:hAnsi="阿里巴巴普惠体 L" w:eastAsia="阿里巴巴普惠体 L" w:cs="阿里巴巴普惠体 L"/>
        </w:rPr>
        <w:drawing>
          <wp:inline distT="0" distB="0" distL="0" distR="0">
            <wp:extent cx="5486400" cy="283337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486400" cy="2833370"/>
                    </a:xfrm>
                    <a:prstGeom prst="rect">
                      <a:avLst/>
                    </a:prstGeom>
                  </pic:spPr>
                </pic:pic>
              </a:graphicData>
            </a:graphic>
          </wp:inline>
        </w:drawing>
      </w:r>
    </w:p>
    <w:p>
      <w:pPr>
        <w:pStyle w:val="7"/>
        <w:spacing w:before="63" w:after="63"/>
        <w:jc w:val="both"/>
        <w:rPr>
          <w:rFonts w:ascii="阿里巴巴普惠体 L" w:hAnsi="阿里巴巴普惠体 L" w:eastAsia="阿里巴巴普惠体 L" w:cs="阿里巴巴普惠体 L"/>
          <w:b/>
          <w:i/>
          <w:sz w:val="28"/>
          <w:szCs w:val="28"/>
        </w:rPr>
      </w:pPr>
      <w:r>
        <w:rPr>
          <w:rFonts w:hint="eastAsia" w:ascii="阿里巴巴普惠体 L" w:hAnsi="阿里巴巴普惠体 L" w:eastAsia="阿里巴巴普惠体 L" w:cs="阿里巴巴普惠体 L"/>
          <w:b/>
          <w:i/>
          <w:sz w:val="28"/>
          <w:szCs w:val="28"/>
        </w:rPr>
        <w:t>图5：CEPAC的收入杠杆，OUCAE，2004-2012（百万美元）</w:t>
      </w:r>
    </w:p>
    <w:p>
      <w:pPr>
        <w:pStyle w:val="7"/>
        <w:spacing w:before="63" w:after="63"/>
        <w:jc w:val="both"/>
        <w:rPr>
          <w:rFonts w:ascii="阿里巴巴普惠体 L" w:hAnsi="阿里巴巴普惠体 L" w:eastAsia="阿里巴巴普惠体 L" w:cs="阿里巴巴普惠体 L"/>
          <w:b/>
          <w:i/>
          <w:sz w:val="28"/>
          <w:szCs w:val="28"/>
        </w:rPr>
      </w:pPr>
      <w:r>
        <w:rPr>
          <w:rFonts w:hint="eastAsia" w:ascii="阿里巴巴普惠体 L" w:hAnsi="阿里巴巴普惠体 L" w:eastAsia="阿里巴巴普惠体 L" w:cs="阿里巴巴普惠体 L"/>
          <w:b/>
          <w:i/>
          <w:sz w:val="28"/>
          <w:szCs w:val="28"/>
        </w:rPr>
        <w:t>表：作者自绘，基于</w:t>
      </w:r>
      <w:r>
        <w:rPr>
          <w:rFonts w:ascii="阿里巴巴普惠体 L" w:hAnsi="阿里巴巴普惠体 L" w:eastAsia="阿里巴巴普惠体 L" w:cs="阿里巴巴普惠体 L"/>
          <w:b/>
          <w:i/>
          <w:sz w:val="28"/>
          <w:szCs w:val="28"/>
        </w:rPr>
        <w:t>圣保罗</w:t>
      </w:r>
      <w:r>
        <w:rPr>
          <w:rFonts w:hint="eastAsia" w:ascii="阿里巴巴普惠体 L" w:hAnsi="阿里巴巴普惠体 L" w:eastAsia="阿里巴巴普惠体 L" w:cs="阿里巴巴普惠体 L"/>
          <w:b/>
          <w:i/>
          <w:sz w:val="28"/>
          <w:szCs w:val="28"/>
        </w:rPr>
        <w:t>市政厅-</w:t>
      </w:r>
      <w:r>
        <w:rPr>
          <w:rFonts w:ascii="阿里巴巴普惠体 L" w:hAnsi="阿里巴巴普惠体 L" w:eastAsia="阿里巴巴普惠体 L" w:cs="阿里巴巴普惠体 L"/>
          <w:b/>
          <w:i/>
          <w:sz w:val="28"/>
          <w:szCs w:val="28"/>
        </w:rPr>
        <w:t>圣保罗</w:t>
      </w:r>
      <w:r>
        <w:rPr>
          <w:rFonts w:hint="eastAsia" w:ascii="阿里巴巴普惠体 L" w:hAnsi="阿里巴巴普惠体 L" w:eastAsia="阿里巴巴普惠体 L" w:cs="阿里巴巴普惠体 L"/>
          <w:b/>
          <w:i/>
          <w:sz w:val="28"/>
          <w:szCs w:val="28"/>
        </w:rPr>
        <w:t>城镇化2019b</w:t>
      </w:r>
    </w:p>
    <w:p>
      <w:pPr>
        <w:pStyle w:val="7"/>
        <w:spacing w:line="360" w:lineRule="auto"/>
        <w:ind w:firstLine="480" w:firstLineChars="200"/>
        <w:jc w:val="both"/>
        <w:rPr>
          <w:rFonts w:cs="阿里巴巴普惠体 L" w:asciiTheme="majorEastAsia" w:hAnsiTheme="majorEastAsia" w:eastAsiaTheme="majorEastAsia"/>
        </w:rPr>
      </w:pPr>
      <w:r>
        <w:rPr>
          <w:rFonts w:hint="eastAsia" w:cs="阿里巴巴普惠体 L" w:asciiTheme="majorEastAsia" w:hAnsiTheme="majorEastAsia" w:eastAsiaTheme="majorEastAsia"/>
        </w:rPr>
        <w:t>在试图解决非正规住房问题（</w:t>
      </w:r>
      <w:r>
        <w:rPr>
          <w:rFonts w:cs="阿里巴巴普惠体 L" w:asciiTheme="majorEastAsia" w:hAnsiTheme="majorEastAsia" w:eastAsiaTheme="majorEastAsia"/>
        </w:rPr>
        <w:t>圣保罗</w:t>
      </w:r>
      <w:r>
        <w:rPr>
          <w:rFonts w:hint="eastAsia" w:cs="阿里巴巴普惠体 L" w:asciiTheme="majorEastAsia" w:hAnsiTheme="majorEastAsia" w:eastAsiaTheme="majorEastAsia"/>
        </w:rPr>
        <w:t xml:space="preserve">市政厅 </w:t>
      </w:r>
      <w:r>
        <w:rPr>
          <w:rFonts w:cs="阿里巴巴普惠体 L" w:asciiTheme="majorEastAsia" w:hAnsiTheme="majorEastAsia" w:eastAsiaTheme="majorEastAsia"/>
        </w:rPr>
        <w:t>2001</w:t>
      </w:r>
      <w:r>
        <w:rPr>
          <w:rFonts w:hint="eastAsia" w:cs="阿里巴巴普惠体 L" w:asciiTheme="majorEastAsia" w:hAnsiTheme="majorEastAsia" w:eastAsiaTheme="majorEastAsia"/>
        </w:rPr>
        <w:t>）方面，O</w:t>
      </w:r>
      <w:r>
        <w:rPr>
          <w:rFonts w:cs="阿里巴巴普惠体 L" w:asciiTheme="majorEastAsia" w:hAnsiTheme="majorEastAsia" w:eastAsiaTheme="majorEastAsia"/>
        </w:rPr>
        <w:t>UCAE</w:t>
      </w:r>
      <w:r>
        <w:rPr>
          <w:rFonts w:hint="eastAsia" w:cs="阿里巴巴普惠体 L" w:asciiTheme="majorEastAsia" w:hAnsiTheme="majorEastAsia" w:eastAsiaTheme="majorEastAsia"/>
        </w:rPr>
        <w:t>项目有明确的公平性目标的重点，但城市更新的获益却没有公平分配。在目前已支出的3</w:t>
      </w:r>
      <w:r>
        <w:rPr>
          <w:rFonts w:cs="阿里巴巴普惠体 L" w:asciiTheme="majorEastAsia" w:hAnsiTheme="majorEastAsia" w:eastAsiaTheme="majorEastAsia"/>
        </w:rPr>
        <w:t>7</w:t>
      </w:r>
      <w:r>
        <w:rPr>
          <w:rFonts w:hint="eastAsia" w:cs="阿里巴巴普惠体 L" w:asciiTheme="majorEastAsia" w:hAnsiTheme="majorEastAsia" w:eastAsiaTheme="majorEastAsia"/>
        </w:rPr>
        <w:t>亿巴西雷亚尔中，只有总价值的3</w:t>
      </w:r>
      <w:r>
        <w:rPr>
          <w:rFonts w:cs="阿里巴巴普惠体 L" w:asciiTheme="majorEastAsia" w:hAnsiTheme="majorEastAsia" w:eastAsiaTheme="majorEastAsia"/>
        </w:rPr>
        <w:t>4</w:t>
      </w:r>
      <w:r>
        <w:rPr>
          <w:rFonts w:hint="eastAsia" w:cs="阿里巴巴普惠体 L" w:asciiTheme="majorEastAsia" w:hAnsiTheme="majorEastAsia" w:eastAsiaTheme="majorEastAsia"/>
        </w:rPr>
        <w:t>%用于直接惠及低收入家庭基础设施和城市服务（见表1），包括社会住房、公共交通（延长地铁线）和公共空间。相反地，大部分投资（6</w:t>
      </w:r>
      <w:r>
        <w:rPr>
          <w:rFonts w:cs="阿里巴巴普惠体 L" w:asciiTheme="majorEastAsia" w:hAnsiTheme="majorEastAsia" w:eastAsiaTheme="majorEastAsia"/>
        </w:rPr>
        <w:t>0</w:t>
      </w:r>
      <w:r>
        <w:rPr>
          <w:rFonts w:hint="eastAsia" w:cs="阿里巴巴普惠体 L" w:asciiTheme="majorEastAsia" w:hAnsiTheme="majorEastAsia" w:eastAsiaTheme="majorEastAsia"/>
        </w:rPr>
        <w:t>%）用于改善个人交通的道路基础设施，如大道、隧道以及斜拉桥，这些只有汽车可以使用，甚至公共交通都无法使用，更不用说行人。这类型的基础设施有利于车主，往往是收入更高的群体。</w:t>
      </w:r>
    </w:p>
    <w:p>
      <w:pPr>
        <w:pStyle w:val="7"/>
        <w:spacing w:before="63" w:after="63"/>
        <w:jc w:val="both"/>
        <w:rPr>
          <w:rFonts w:ascii="阿里巴巴普惠体 L" w:hAnsi="阿里巴巴普惠体 L" w:eastAsia="阿里巴巴普惠体 L" w:cs="阿里巴巴普惠体 L"/>
          <w:b/>
          <w:i/>
          <w:sz w:val="28"/>
          <w:szCs w:val="28"/>
        </w:rPr>
      </w:pPr>
      <w:r>
        <w:rPr>
          <w:rFonts w:hint="eastAsia" w:ascii="阿里巴巴普惠体 L" w:hAnsi="阿里巴巴普惠体 L" w:eastAsia="阿里巴巴普惠体 L" w:cs="阿里巴巴普惠体 L"/>
          <w:b/>
          <w:i/>
          <w:sz w:val="28"/>
          <w:szCs w:val="28"/>
        </w:rPr>
        <w:t>表1：2</w:t>
      </w:r>
      <w:r>
        <w:rPr>
          <w:rFonts w:ascii="阿里巴巴普惠体 L" w:hAnsi="阿里巴巴普惠体 L" w:eastAsia="阿里巴巴普惠体 L" w:cs="阿里巴巴普惠体 L"/>
          <w:b/>
          <w:i/>
          <w:sz w:val="28"/>
          <w:szCs w:val="28"/>
        </w:rPr>
        <w:t>004</w:t>
      </w:r>
      <w:r>
        <w:rPr>
          <w:rFonts w:hint="eastAsia" w:ascii="阿里巴巴普惠体 L" w:hAnsi="阿里巴巴普惠体 L" w:eastAsia="阿里巴巴普惠体 L" w:cs="阿里巴巴普惠体 L"/>
          <w:b/>
          <w:i/>
          <w:sz w:val="28"/>
          <w:szCs w:val="28"/>
        </w:rPr>
        <w:t>-</w:t>
      </w:r>
      <w:r>
        <w:rPr>
          <w:rFonts w:ascii="阿里巴巴普惠体 L" w:hAnsi="阿里巴巴普惠体 L" w:eastAsia="阿里巴巴普惠体 L" w:cs="阿里巴巴普惠体 L"/>
          <w:b/>
          <w:i/>
          <w:sz w:val="28"/>
          <w:szCs w:val="28"/>
        </w:rPr>
        <w:t>2019</w:t>
      </w:r>
      <w:r>
        <w:rPr>
          <w:rFonts w:hint="eastAsia" w:ascii="阿里巴巴普惠体 L" w:hAnsi="阿里巴巴普惠体 L" w:eastAsia="阿里巴巴普惠体 L" w:cs="阿里巴巴普惠体 L"/>
          <w:b/>
          <w:i/>
          <w:sz w:val="28"/>
          <w:szCs w:val="28"/>
        </w:rPr>
        <w:t>年1月，按类型划分的O</w:t>
      </w:r>
      <w:r>
        <w:rPr>
          <w:rFonts w:ascii="阿里巴巴普惠体 L" w:hAnsi="阿里巴巴普惠体 L" w:eastAsia="阿里巴巴普惠体 L" w:cs="阿里巴巴普惠体 L"/>
          <w:b/>
          <w:i/>
          <w:sz w:val="28"/>
          <w:szCs w:val="28"/>
        </w:rPr>
        <w:t>UCAE</w:t>
      </w:r>
      <w:r>
        <w:rPr>
          <w:rFonts w:hint="eastAsia" w:ascii="阿里巴巴普惠体 L" w:hAnsi="阿里巴巴普惠体 L" w:eastAsia="阿里巴巴普惠体 L" w:cs="阿里巴巴普惠体 L"/>
          <w:b/>
          <w:i/>
          <w:sz w:val="28"/>
          <w:szCs w:val="28"/>
        </w:rPr>
        <w:t>投资支出总额（美元）</w:t>
      </w:r>
    </w:p>
    <w:p>
      <w:pPr>
        <w:pStyle w:val="7"/>
        <w:spacing w:before="63" w:after="63"/>
        <w:jc w:val="both"/>
        <w:rPr>
          <w:rFonts w:ascii="阿里巴巴普惠体 L" w:hAnsi="阿里巴巴普惠体 L" w:eastAsia="阿里巴巴普惠体 L" w:cs="阿里巴巴普惠体 L"/>
          <w:sz w:val="28"/>
          <w:szCs w:val="28"/>
        </w:rPr>
      </w:pPr>
      <w:r>
        <w:rPr>
          <w:rFonts w:ascii="阿里巴巴普惠体 L" w:hAnsi="阿里巴巴普惠体 L" w:eastAsia="阿里巴巴普惠体 L" w:cs="阿里巴巴普惠体 L"/>
        </w:rPr>
        <w:drawing>
          <wp:inline distT="0" distB="0" distL="0" distR="0">
            <wp:extent cx="5486400" cy="224472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486400" cy="2244725"/>
                    </a:xfrm>
                    <a:prstGeom prst="rect">
                      <a:avLst/>
                    </a:prstGeom>
                  </pic:spPr>
                </pic:pic>
              </a:graphicData>
            </a:graphic>
          </wp:inline>
        </w:drawing>
      </w:r>
    </w:p>
    <w:p>
      <w:pPr>
        <w:pStyle w:val="7"/>
        <w:spacing w:before="63" w:after="63"/>
        <w:jc w:val="both"/>
        <w:rPr>
          <w:rFonts w:ascii="阿里巴巴普惠体 L" w:hAnsi="阿里巴巴普惠体 L" w:eastAsia="阿里巴巴普惠体 L" w:cs="阿里巴巴普惠体 L"/>
          <w:b/>
          <w:i/>
          <w:sz w:val="28"/>
          <w:szCs w:val="28"/>
        </w:rPr>
      </w:pPr>
      <w:r>
        <w:rPr>
          <w:rFonts w:hint="eastAsia" w:ascii="阿里巴巴普惠体 L" w:hAnsi="阿里巴巴普惠体 L" w:eastAsia="阿里巴巴普惠体 L" w:cs="阿里巴巴普惠体 L"/>
          <w:b/>
          <w:i/>
          <w:sz w:val="28"/>
          <w:szCs w:val="28"/>
        </w:rPr>
        <w:t>表：作者自绘，基于</w:t>
      </w:r>
      <w:r>
        <w:rPr>
          <w:rFonts w:ascii="阿里巴巴普惠体 L" w:hAnsi="阿里巴巴普惠体 L" w:eastAsia="阿里巴巴普惠体 L" w:cs="阿里巴巴普惠体 L"/>
          <w:b/>
          <w:i/>
          <w:sz w:val="28"/>
          <w:szCs w:val="28"/>
        </w:rPr>
        <w:t>圣保罗</w:t>
      </w:r>
      <w:r>
        <w:rPr>
          <w:rFonts w:hint="eastAsia" w:ascii="阿里巴巴普惠体 L" w:hAnsi="阿里巴巴普惠体 L" w:eastAsia="阿里巴巴普惠体 L" w:cs="阿里巴巴普惠体 L"/>
          <w:b/>
          <w:i/>
          <w:sz w:val="28"/>
          <w:szCs w:val="28"/>
        </w:rPr>
        <w:t>市政厅-</w:t>
      </w:r>
      <w:r>
        <w:rPr>
          <w:rFonts w:ascii="阿里巴巴普惠体 L" w:hAnsi="阿里巴巴普惠体 L" w:eastAsia="阿里巴巴普惠体 L" w:cs="阿里巴巴普惠体 L"/>
          <w:b/>
          <w:i/>
          <w:sz w:val="28"/>
          <w:szCs w:val="28"/>
        </w:rPr>
        <w:t>圣保罗</w:t>
      </w:r>
      <w:r>
        <w:rPr>
          <w:rFonts w:hint="eastAsia" w:ascii="阿里巴巴普惠体 L" w:hAnsi="阿里巴巴普惠体 L" w:eastAsia="阿里巴巴普惠体 L" w:cs="阿里巴巴普惠体 L"/>
          <w:b/>
          <w:i/>
          <w:sz w:val="28"/>
          <w:szCs w:val="28"/>
        </w:rPr>
        <w:t>城镇化（2</w:t>
      </w:r>
      <w:r>
        <w:rPr>
          <w:rFonts w:ascii="阿里巴巴普惠体 L" w:hAnsi="阿里巴巴普惠体 L" w:eastAsia="阿里巴巴普惠体 L" w:cs="阿里巴巴普惠体 L"/>
          <w:b/>
          <w:i/>
          <w:sz w:val="28"/>
          <w:szCs w:val="28"/>
        </w:rPr>
        <w:t>019</w:t>
      </w:r>
      <w:r>
        <w:rPr>
          <w:rFonts w:hint="eastAsia" w:ascii="阿里巴巴普惠体 L" w:hAnsi="阿里巴巴普惠体 L" w:eastAsia="阿里巴巴普惠体 L" w:cs="阿里巴巴普惠体 L"/>
          <w:b/>
          <w:i/>
          <w:sz w:val="28"/>
          <w:szCs w:val="28"/>
        </w:rPr>
        <w:t>）【注6】</w:t>
      </w:r>
    </w:p>
    <w:p>
      <w:pPr>
        <w:widowControl w:val="0"/>
        <w:spacing w:after="0" w:line="240" w:lineRule="auto"/>
        <w:jc w:val="both"/>
        <w:rPr>
          <w:rFonts w:ascii="阿里巴巴普惠体 L" w:hAnsi="阿里巴巴普惠体 L" w:eastAsia="阿里巴巴普惠体 L" w:cs="阿里巴巴普惠体 L"/>
          <w:kern w:val="2"/>
          <w:sz w:val="21"/>
          <w:szCs w:val="24"/>
        </w:rPr>
      </w:pPr>
      <w:r>
        <w:rPr>
          <w:rFonts w:hint="eastAsia" w:ascii="阿里巴巴普惠体 L" w:hAnsi="阿里巴巴普惠体 L" w:eastAsia="阿里巴巴普惠体 L" w:cs="阿里巴巴普惠体 L"/>
          <w:kern w:val="2"/>
          <w:sz w:val="21"/>
          <w:szCs w:val="24"/>
        </w:rPr>
        <w:t>【注5】</w:t>
      </w:r>
      <w:r>
        <w:rPr>
          <w:rFonts w:ascii="阿里巴巴普惠体 L" w:hAnsi="阿里巴巴普惠体 L" w:eastAsia="阿里巴巴普惠体 L" w:cs="阿里巴巴普惠体 L"/>
          <w:kern w:val="2"/>
          <w:sz w:val="21"/>
          <w:szCs w:val="24"/>
        </w:rPr>
        <w:t xml:space="preserve"> </w:t>
      </w:r>
      <w:r>
        <w:rPr>
          <w:rFonts w:hint="eastAsia" w:ascii="阿里巴巴普惠体 L" w:hAnsi="阿里巴巴普惠体 L" w:eastAsia="阿里巴巴普惠体 L" w:cs="阿里巴巴普惠体 L"/>
          <w:kern w:val="2"/>
          <w:sz w:val="21"/>
          <w:szCs w:val="24"/>
        </w:rPr>
        <w:t>道路系统基础设施：已完成的斜拉桥、拉古纳桥、连接Berrini Coridor的道路系统；未完工的：Jornalista Roberto Marinho大道（包括河道渠化和隧道）和Chucri Zaida。</w:t>
      </w:r>
    </w:p>
    <w:p>
      <w:pPr>
        <w:widowControl w:val="0"/>
        <w:spacing w:after="0" w:line="240" w:lineRule="auto"/>
        <w:jc w:val="both"/>
        <w:rPr>
          <w:rFonts w:ascii="阿里巴巴普惠体 L" w:hAnsi="阿里巴巴普惠体 L" w:eastAsia="阿里巴巴普惠体 L" w:cs="阿里巴巴普惠体 L"/>
          <w:kern w:val="2"/>
          <w:sz w:val="21"/>
          <w:szCs w:val="24"/>
        </w:rPr>
      </w:pPr>
      <w:r>
        <w:rPr>
          <w:rFonts w:hint="eastAsia" w:ascii="阿里巴巴普惠体 L" w:hAnsi="阿里巴巴普惠体 L" w:eastAsia="阿里巴巴普惠体 L" w:cs="阿里巴巴普惠体 L"/>
          <w:kern w:val="2"/>
          <w:sz w:val="21"/>
          <w:szCs w:val="24"/>
        </w:rPr>
        <w:t>【注6】以2018年的平均年汇率折合，R $ / US $ 3,6552。</w:t>
      </w:r>
    </w:p>
    <w:p>
      <w:pPr>
        <w:pStyle w:val="7"/>
        <w:spacing w:before="63" w:after="63"/>
        <w:jc w:val="both"/>
        <w:rPr>
          <w:rFonts w:ascii="阿里巴巴普惠体 L" w:hAnsi="阿里巴巴普惠体 L" w:eastAsia="阿里巴巴普惠体 L" w:cs="阿里巴巴普惠体 L"/>
          <w:b/>
          <w:sz w:val="28"/>
          <w:szCs w:val="28"/>
          <w:u w:val="single"/>
        </w:rPr>
      </w:pPr>
      <w:r>
        <w:rPr>
          <w:rFonts w:hint="eastAsia" w:ascii="阿里巴巴普惠体 L" w:hAnsi="阿里巴巴普惠体 L" w:eastAsia="阿里巴巴普惠体 L" w:cs="阿里巴巴普惠体 L"/>
          <w:b/>
          <w:sz w:val="28"/>
          <w:szCs w:val="28"/>
          <w:u w:val="single"/>
        </w:rPr>
        <w:t>居民安置</w:t>
      </w:r>
    </w:p>
    <w:p>
      <w:pPr>
        <w:pStyle w:val="7"/>
        <w:spacing w:line="360" w:lineRule="auto"/>
        <w:ind w:firstLine="480" w:firstLineChars="200"/>
        <w:jc w:val="both"/>
        <w:rPr>
          <w:rFonts w:cs="阿里巴巴普惠体 L" w:asciiTheme="majorEastAsia" w:hAnsiTheme="majorEastAsia" w:eastAsiaTheme="majorEastAsia"/>
        </w:rPr>
      </w:pPr>
      <w:r>
        <w:rPr>
          <w:rFonts w:hint="eastAsia" w:cs="阿里巴巴普惠体 L" w:asciiTheme="majorEastAsia" w:hAnsiTheme="majorEastAsia" w:eastAsiaTheme="majorEastAsia"/>
        </w:rPr>
        <w:t>为防止在L</w:t>
      </w:r>
      <w:r>
        <w:rPr>
          <w:rFonts w:cs="阿里巴巴普惠体 L" w:asciiTheme="majorEastAsia" w:hAnsiTheme="majorEastAsia" w:eastAsiaTheme="majorEastAsia"/>
        </w:rPr>
        <w:t>CV</w:t>
      </w:r>
      <w:r>
        <w:rPr>
          <w:rFonts w:hint="eastAsia" w:cs="阿里巴巴普惠体 L" w:asciiTheme="majorEastAsia" w:hAnsiTheme="majorEastAsia" w:eastAsiaTheme="majorEastAsia"/>
        </w:rPr>
        <w:t>项目中普遍出现的绅士化，O</w:t>
      </w:r>
      <w:r>
        <w:rPr>
          <w:rFonts w:cs="阿里巴巴普惠体 L" w:asciiTheme="majorEastAsia" w:hAnsiTheme="majorEastAsia" w:eastAsiaTheme="majorEastAsia"/>
        </w:rPr>
        <w:t>UCAE</w:t>
      </w:r>
      <w:r>
        <w:rPr>
          <w:rFonts w:hint="eastAsia" w:cs="阿里巴巴普惠体 L" w:asciiTheme="majorEastAsia" w:hAnsiTheme="majorEastAsia" w:eastAsiaTheme="majorEastAsia"/>
        </w:rPr>
        <w:t>提出三点主要措施：1）所有搬迁家庭应当安置于O</w:t>
      </w:r>
      <w:r>
        <w:rPr>
          <w:rFonts w:cs="阿里巴巴普惠体 L" w:asciiTheme="majorEastAsia" w:hAnsiTheme="majorEastAsia" w:eastAsiaTheme="majorEastAsia"/>
        </w:rPr>
        <w:t>UC</w:t>
      </w:r>
      <w:r>
        <w:rPr>
          <w:rFonts w:hint="eastAsia" w:cs="阿里巴巴普惠体 L" w:asciiTheme="majorEastAsia" w:hAnsiTheme="majorEastAsia" w:eastAsiaTheme="majorEastAsia"/>
        </w:rPr>
        <w:t>区域内；2）CEPAC筹集的总收入应当有固定份额投资于经济适用房及贫民区的城镇化（2</w:t>
      </w:r>
      <w:r>
        <w:rPr>
          <w:rFonts w:cs="阿里巴巴普惠体 L" w:asciiTheme="majorEastAsia" w:hAnsiTheme="majorEastAsia" w:eastAsiaTheme="majorEastAsia"/>
        </w:rPr>
        <w:t>004</w:t>
      </w:r>
      <w:r>
        <w:rPr>
          <w:rFonts w:hint="eastAsia" w:cs="阿里巴巴普惠体 L" w:asciiTheme="majorEastAsia" w:hAnsiTheme="majorEastAsia" w:eastAsiaTheme="majorEastAsia"/>
        </w:rPr>
        <w:t>年为1</w:t>
      </w:r>
      <w:r>
        <w:rPr>
          <w:rFonts w:cs="阿里巴巴普惠体 L" w:asciiTheme="majorEastAsia" w:hAnsiTheme="majorEastAsia" w:eastAsiaTheme="majorEastAsia"/>
        </w:rPr>
        <w:t>0</w:t>
      </w:r>
      <w:r>
        <w:rPr>
          <w:rFonts w:hint="eastAsia" w:cs="阿里巴巴普惠体 L" w:asciiTheme="majorEastAsia" w:hAnsiTheme="majorEastAsia" w:eastAsiaTheme="majorEastAsia"/>
        </w:rPr>
        <w:t>%，2</w:t>
      </w:r>
      <w:r>
        <w:rPr>
          <w:rFonts w:cs="阿里巴巴普惠体 L" w:asciiTheme="majorEastAsia" w:hAnsiTheme="majorEastAsia" w:eastAsiaTheme="majorEastAsia"/>
        </w:rPr>
        <w:t>018</w:t>
      </w:r>
      <w:r>
        <w:rPr>
          <w:rFonts w:hint="eastAsia" w:cs="阿里巴巴普惠体 L" w:asciiTheme="majorEastAsia" w:hAnsiTheme="majorEastAsia" w:eastAsiaTheme="majorEastAsia"/>
        </w:rPr>
        <w:t>年增长至3</w:t>
      </w:r>
      <w:r>
        <w:rPr>
          <w:rFonts w:cs="阿里巴巴普惠体 L" w:asciiTheme="majorEastAsia" w:hAnsiTheme="majorEastAsia" w:eastAsiaTheme="majorEastAsia"/>
        </w:rPr>
        <w:t>0</w:t>
      </w:r>
      <w:r>
        <w:rPr>
          <w:rFonts w:hint="eastAsia" w:cs="阿里巴巴普惠体 L" w:asciiTheme="majorEastAsia" w:hAnsiTheme="majorEastAsia" w:eastAsiaTheme="majorEastAsia"/>
        </w:rPr>
        <w:t>%）；3）O</w:t>
      </w:r>
      <w:r>
        <w:rPr>
          <w:rFonts w:cs="阿里巴巴普惠体 L" w:asciiTheme="majorEastAsia" w:hAnsiTheme="majorEastAsia" w:eastAsiaTheme="majorEastAsia"/>
        </w:rPr>
        <w:t>UC</w:t>
      </w:r>
      <w:r>
        <w:rPr>
          <w:rFonts w:hint="eastAsia" w:cs="阿里巴巴普惠体 L" w:asciiTheme="majorEastAsia" w:hAnsiTheme="majorEastAsia" w:eastAsiaTheme="majorEastAsia"/>
        </w:rPr>
        <w:t>地区内一定的土地专用于经济适用房，称为社会利益特区（ZEIS）（</w:t>
      </w:r>
      <w:r>
        <w:rPr>
          <w:rFonts w:cs="阿里巴巴普惠体 L" w:asciiTheme="majorEastAsia" w:hAnsiTheme="majorEastAsia" w:eastAsiaTheme="majorEastAsia"/>
        </w:rPr>
        <w:t>圣保罗</w:t>
      </w:r>
      <w:r>
        <w:rPr>
          <w:rFonts w:hint="eastAsia" w:cs="阿里巴巴普惠体 L" w:asciiTheme="majorEastAsia" w:hAnsiTheme="majorEastAsia" w:eastAsiaTheme="majorEastAsia"/>
        </w:rPr>
        <w:t>市政厅2</w:t>
      </w:r>
      <w:r>
        <w:rPr>
          <w:rFonts w:cs="阿里巴巴普惠体 L" w:asciiTheme="majorEastAsia" w:hAnsiTheme="majorEastAsia" w:eastAsiaTheme="majorEastAsia"/>
        </w:rPr>
        <w:t>001</w:t>
      </w:r>
      <w:r>
        <w:rPr>
          <w:rFonts w:hint="eastAsia" w:cs="阿里巴巴普惠体 L" w:asciiTheme="majorEastAsia" w:hAnsiTheme="majorEastAsia" w:eastAsiaTheme="majorEastAsia"/>
        </w:rPr>
        <w:t>；2</w:t>
      </w:r>
      <w:r>
        <w:rPr>
          <w:rFonts w:cs="阿里巴巴普惠体 L" w:asciiTheme="majorEastAsia" w:hAnsiTheme="majorEastAsia" w:eastAsiaTheme="majorEastAsia"/>
        </w:rPr>
        <w:t>011</w:t>
      </w:r>
      <w:r>
        <w:rPr>
          <w:rFonts w:hint="eastAsia" w:cs="阿里巴巴普惠体 L" w:asciiTheme="majorEastAsia" w:hAnsiTheme="majorEastAsia" w:eastAsiaTheme="majorEastAsia"/>
        </w:rPr>
        <w:t>；2</w:t>
      </w:r>
      <w:r>
        <w:rPr>
          <w:rFonts w:cs="阿里巴巴普惠体 L" w:asciiTheme="majorEastAsia" w:hAnsiTheme="majorEastAsia" w:eastAsiaTheme="majorEastAsia"/>
        </w:rPr>
        <w:t>018</w:t>
      </w:r>
      <w:r>
        <w:rPr>
          <w:rFonts w:hint="eastAsia" w:cs="阿里巴巴普惠体 L" w:asciiTheme="majorEastAsia" w:hAnsiTheme="majorEastAsia" w:eastAsiaTheme="majorEastAsia"/>
        </w:rPr>
        <w:t>）。但这些措施仍不足以保护低收入家庭不被排斥离开本地。尽管筹措资金的2</w:t>
      </w:r>
      <w:r>
        <w:rPr>
          <w:rFonts w:cs="阿里巴巴普惠体 L" w:asciiTheme="majorEastAsia" w:hAnsiTheme="majorEastAsia" w:eastAsiaTheme="majorEastAsia"/>
        </w:rPr>
        <w:t>1</w:t>
      </w:r>
      <w:r>
        <w:rPr>
          <w:rFonts w:hint="eastAsia" w:cs="阿里巴巴普惠体 L" w:asciiTheme="majorEastAsia" w:hAnsiTheme="majorEastAsia" w:eastAsiaTheme="majorEastAsia"/>
        </w:rPr>
        <w:t>%用于社会住房，仍有至少8</w:t>
      </w:r>
      <w:r>
        <w:rPr>
          <w:rFonts w:cs="阿里巴巴普惠体 L" w:asciiTheme="majorEastAsia" w:hAnsiTheme="majorEastAsia" w:eastAsiaTheme="majorEastAsia"/>
        </w:rPr>
        <w:t>000</w:t>
      </w:r>
      <w:r>
        <w:rPr>
          <w:rFonts w:hint="eastAsia" w:cs="阿里巴巴普惠体 L" w:asciiTheme="majorEastAsia" w:hAnsiTheme="majorEastAsia" w:eastAsiaTheme="majorEastAsia"/>
        </w:rPr>
        <w:t>个家庭被地区建设所排斥【注7】，大部分只能重新回到沿河的贫民区生活（（FajerszSecret， 2019年采访；Rolnik等人，2</w:t>
      </w:r>
      <w:r>
        <w:rPr>
          <w:rFonts w:cs="阿里巴巴普惠体 L" w:asciiTheme="majorEastAsia" w:hAnsiTheme="majorEastAsia" w:eastAsiaTheme="majorEastAsia"/>
        </w:rPr>
        <w:t>017</w:t>
      </w:r>
      <w:r>
        <w:rPr>
          <w:rFonts w:hint="eastAsia" w:cs="阿里巴巴普惠体 L" w:asciiTheme="majorEastAsia" w:hAnsiTheme="majorEastAsia" w:eastAsiaTheme="majorEastAsia"/>
        </w:rPr>
        <w:t>）。截至2</w:t>
      </w:r>
      <w:r>
        <w:rPr>
          <w:rFonts w:cs="阿里巴巴普惠体 L" w:asciiTheme="majorEastAsia" w:hAnsiTheme="majorEastAsia" w:eastAsiaTheme="majorEastAsia"/>
        </w:rPr>
        <w:t>019</w:t>
      </w:r>
      <w:r>
        <w:rPr>
          <w:rFonts w:hint="eastAsia" w:cs="阿里巴巴普惠体 L" w:asciiTheme="majorEastAsia" w:hAnsiTheme="majorEastAsia" w:eastAsiaTheme="majorEastAsia"/>
        </w:rPr>
        <w:t>年1月，仅建成7</w:t>
      </w:r>
      <w:r>
        <w:rPr>
          <w:rFonts w:cs="阿里巴巴普惠体 L" w:asciiTheme="majorEastAsia" w:hAnsiTheme="majorEastAsia" w:eastAsiaTheme="majorEastAsia"/>
        </w:rPr>
        <w:t>78</w:t>
      </w:r>
      <w:r>
        <w:rPr>
          <w:rFonts w:hint="eastAsia" w:cs="阿里巴巴普惠体 L" w:asciiTheme="majorEastAsia" w:hAnsiTheme="majorEastAsia" w:eastAsiaTheme="majorEastAsia"/>
        </w:rPr>
        <w:t>套社会住房，约7</w:t>
      </w:r>
      <w:r>
        <w:rPr>
          <w:rFonts w:cs="阿里巴巴普惠体 L" w:asciiTheme="majorEastAsia" w:hAnsiTheme="majorEastAsia" w:eastAsiaTheme="majorEastAsia"/>
        </w:rPr>
        <w:t>9</w:t>
      </w:r>
      <w:r>
        <w:rPr>
          <w:rFonts w:hint="eastAsia" w:cs="阿里巴巴普惠体 L" w:asciiTheme="majorEastAsia" w:hAnsiTheme="majorEastAsia" w:eastAsiaTheme="majorEastAsia"/>
        </w:rPr>
        <w:t>%的社会住房建设资金投入的项目尚未完工（</w:t>
      </w:r>
      <w:r>
        <w:rPr>
          <w:rFonts w:cs="阿里巴巴普惠体 L" w:asciiTheme="majorEastAsia" w:hAnsiTheme="majorEastAsia" w:eastAsiaTheme="majorEastAsia"/>
        </w:rPr>
        <w:t>圣保罗</w:t>
      </w:r>
      <w:r>
        <w:rPr>
          <w:rFonts w:hint="eastAsia" w:cs="阿里巴巴普惠体 L" w:asciiTheme="majorEastAsia" w:hAnsiTheme="majorEastAsia" w:eastAsiaTheme="majorEastAsia"/>
        </w:rPr>
        <w:t>市政厅-</w:t>
      </w:r>
      <w:r>
        <w:rPr>
          <w:rFonts w:cs="阿里巴巴普惠体 L" w:asciiTheme="majorEastAsia" w:hAnsiTheme="majorEastAsia" w:eastAsiaTheme="majorEastAsia"/>
        </w:rPr>
        <w:t>圣保罗</w:t>
      </w:r>
      <w:r>
        <w:rPr>
          <w:rFonts w:hint="eastAsia" w:cs="阿里巴巴普惠体 L" w:asciiTheme="majorEastAsia" w:hAnsiTheme="majorEastAsia" w:eastAsiaTheme="majorEastAsia"/>
        </w:rPr>
        <w:t xml:space="preserve">城镇化 </w:t>
      </w:r>
      <w:r>
        <w:rPr>
          <w:rFonts w:cs="阿里巴巴普惠体 L" w:asciiTheme="majorEastAsia" w:hAnsiTheme="majorEastAsia" w:eastAsiaTheme="majorEastAsia"/>
        </w:rPr>
        <w:t>2019</w:t>
      </w:r>
      <w:r>
        <w:rPr>
          <w:rFonts w:hint="eastAsia" w:cs="阿里巴巴普惠体 L" w:asciiTheme="majorEastAsia" w:hAnsiTheme="majorEastAsia" w:eastAsiaTheme="majorEastAsia"/>
        </w:rPr>
        <w:t>）</w:t>
      </w:r>
    </w:p>
    <w:p>
      <w:pPr>
        <w:widowControl w:val="0"/>
        <w:spacing w:after="0" w:line="240" w:lineRule="auto"/>
        <w:jc w:val="both"/>
        <w:rPr>
          <w:rFonts w:ascii="阿里巴巴普惠体 L" w:hAnsi="阿里巴巴普惠体 L" w:eastAsia="阿里巴巴普惠体 L" w:cs="阿里巴巴普惠体 L"/>
          <w:kern w:val="2"/>
          <w:sz w:val="21"/>
          <w:szCs w:val="24"/>
        </w:rPr>
      </w:pPr>
      <w:r>
        <w:rPr>
          <w:rFonts w:hint="eastAsia" w:ascii="阿里巴巴普惠体 L" w:hAnsi="阿里巴巴普惠体 L" w:eastAsia="阿里巴巴普惠体 L" w:cs="阿里巴巴普惠体 L"/>
          <w:kern w:val="2"/>
          <w:sz w:val="21"/>
          <w:szCs w:val="24"/>
        </w:rPr>
        <w:t>【注7】这些家庭得到驱逐通知，并获得少量补偿以及城市外围提供的社会住房选择。</w:t>
      </w:r>
    </w:p>
    <w:p>
      <w:pPr>
        <w:pStyle w:val="7"/>
        <w:spacing w:line="360" w:lineRule="auto"/>
        <w:ind w:firstLine="480" w:firstLineChars="200"/>
        <w:jc w:val="both"/>
        <w:rPr>
          <w:rFonts w:cs="阿里巴巴普惠体 L" w:asciiTheme="majorEastAsia" w:hAnsiTheme="majorEastAsia" w:eastAsiaTheme="majorEastAsia"/>
        </w:rPr>
      </w:pPr>
      <w:r>
        <w:rPr>
          <w:rFonts w:hint="eastAsia" w:cs="阿里巴巴普惠体 L" w:asciiTheme="majorEastAsia" w:hAnsiTheme="majorEastAsia" w:eastAsiaTheme="majorEastAsia"/>
        </w:rPr>
        <w:t>随着土地价值升高，提供服务的成本日益增加，使城市贫民获得公平的服务更为艰难。一旦土地私有，且缺少用于公共投资目的的土地价格调控机制，市政当局必须以更高的价格购买土地以提供公共基础设施和服务，并重新安置该地区的家庭（Partezani，2019年采访）。在O</w:t>
      </w:r>
      <w:r>
        <w:rPr>
          <w:rFonts w:cs="阿里巴巴普惠体 L" w:asciiTheme="majorEastAsia" w:hAnsiTheme="majorEastAsia" w:eastAsiaTheme="majorEastAsia"/>
        </w:rPr>
        <w:t>UCAE</w:t>
      </w:r>
      <w:r>
        <w:rPr>
          <w:rFonts w:hint="eastAsia" w:cs="阿里巴巴普惠体 L" w:asciiTheme="majorEastAsia" w:hAnsiTheme="majorEastAsia" w:eastAsiaTheme="majorEastAsia"/>
        </w:rPr>
        <w:t>，近半的用于社会住房（4</w:t>
      </w:r>
      <w:r>
        <w:rPr>
          <w:rFonts w:cs="阿里巴巴普惠体 L" w:asciiTheme="majorEastAsia" w:hAnsiTheme="majorEastAsia" w:eastAsiaTheme="majorEastAsia"/>
        </w:rPr>
        <w:t>5</w:t>
      </w:r>
      <w:r>
        <w:rPr>
          <w:rFonts w:hint="eastAsia" w:cs="阿里巴巴普惠体 L" w:asciiTheme="majorEastAsia" w:hAnsiTheme="majorEastAsia" w:eastAsiaTheme="majorEastAsia"/>
        </w:rPr>
        <w:t>%）的支出是通过征收，花费政府资金和剥夺私有财产所有者获得发展用地的权利（</w:t>
      </w:r>
      <w:r>
        <w:rPr>
          <w:rFonts w:cs="阿里巴巴普惠体 L" w:asciiTheme="majorEastAsia" w:hAnsiTheme="majorEastAsia" w:eastAsiaTheme="majorEastAsia"/>
        </w:rPr>
        <w:t>圣保罗</w:t>
      </w:r>
      <w:r>
        <w:rPr>
          <w:rFonts w:hint="eastAsia" w:cs="阿里巴巴普惠体 L" w:asciiTheme="majorEastAsia" w:hAnsiTheme="majorEastAsia" w:eastAsiaTheme="majorEastAsia"/>
        </w:rPr>
        <w:t>市政厅-</w:t>
      </w:r>
      <w:r>
        <w:rPr>
          <w:rFonts w:cs="阿里巴巴普惠体 L" w:asciiTheme="majorEastAsia" w:hAnsiTheme="majorEastAsia" w:eastAsiaTheme="majorEastAsia"/>
        </w:rPr>
        <w:t>圣保罗</w:t>
      </w:r>
      <w:r>
        <w:rPr>
          <w:rFonts w:hint="eastAsia" w:cs="阿里巴巴普惠体 L" w:asciiTheme="majorEastAsia" w:hAnsiTheme="majorEastAsia" w:eastAsiaTheme="majorEastAsia"/>
        </w:rPr>
        <w:t xml:space="preserve">城镇化 </w:t>
      </w:r>
      <w:r>
        <w:rPr>
          <w:rFonts w:cs="阿里巴巴普惠体 L" w:asciiTheme="majorEastAsia" w:hAnsiTheme="majorEastAsia" w:eastAsiaTheme="majorEastAsia"/>
        </w:rPr>
        <w:t>2019</w:t>
      </w:r>
      <w:r>
        <w:rPr>
          <w:rFonts w:hint="eastAsia" w:cs="阿里巴巴普惠体 L" w:asciiTheme="majorEastAsia" w:hAnsiTheme="majorEastAsia" w:eastAsiaTheme="majorEastAsia"/>
        </w:rPr>
        <w:t>）。如果城市没有考虑开发用地带来的潜在的服务成本增加，那么LVC对城市的潜在收益可能会被抵消。</w:t>
      </w:r>
    </w:p>
    <w:p>
      <w:pPr>
        <w:pStyle w:val="7"/>
        <w:spacing w:before="63" w:after="63"/>
        <w:jc w:val="both"/>
        <w:rPr>
          <w:rFonts w:ascii="阿里巴巴普惠体 L" w:hAnsi="阿里巴巴普惠体 L" w:eastAsia="阿里巴巴普惠体 L" w:cs="阿里巴巴普惠体 L"/>
          <w:b/>
          <w:sz w:val="28"/>
          <w:szCs w:val="28"/>
          <w:u w:val="single"/>
        </w:rPr>
      </w:pPr>
      <w:r>
        <w:rPr>
          <w:rFonts w:hint="eastAsia" w:ascii="阿里巴巴普惠体 L" w:hAnsi="阿里巴巴普惠体 L" w:eastAsia="阿里巴巴普惠体 L" w:cs="阿里巴巴普惠体 L"/>
          <w:b/>
          <w:sz w:val="28"/>
          <w:szCs w:val="28"/>
          <w:u w:val="single"/>
        </w:rPr>
        <w:t>基于地点的资金目的地和流程的包容性</w:t>
      </w:r>
    </w:p>
    <w:p>
      <w:pPr>
        <w:pStyle w:val="7"/>
        <w:spacing w:line="360" w:lineRule="auto"/>
        <w:ind w:firstLine="480" w:firstLineChars="200"/>
        <w:jc w:val="both"/>
        <w:rPr>
          <w:rFonts w:cs="阿里巴巴普惠体 L" w:asciiTheme="majorEastAsia" w:hAnsiTheme="majorEastAsia" w:eastAsiaTheme="majorEastAsia"/>
        </w:rPr>
      </w:pPr>
      <w:r>
        <w:rPr>
          <w:rFonts w:hint="eastAsia" w:cs="阿里巴巴普惠体 L" w:asciiTheme="majorEastAsia" w:hAnsiTheme="majorEastAsia" w:eastAsiaTheme="majorEastAsia"/>
        </w:rPr>
        <w:t>根据O</w:t>
      </w:r>
      <w:r>
        <w:rPr>
          <w:rFonts w:cs="阿里巴巴普惠体 L" w:asciiTheme="majorEastAsia" w:hAnsiTheme="majorEastAsia" w:eastAsiaTheme="majorEastAsia"/>
        </w:rPr>
        <w:t xml:space="preserve">UC </w:t>
      </w:r>
      <w:r>
        <w:rPr>
          <w:rFonts w:hint="eastAsia" w:cs="阿里巴巴普惠体 L" w:asciiTheme="majorEastAsia" w:hAnsiTheme="majorEastAsia" w:eastAsiaTheme="majorEastAsia"/>
        </w:rPr>
        <w:t>法律，出售CEPAC获得的收益将纳入特定的城市运营基金（</w:t>
      </w:r>
      <w:r>
        <w:rPr>
          <w:rFonts w:cs="阿里巴巴普惠体 L" w:asciiTheme="majorEastAsia" w:hAnsiTheme="majorEastAsia" w:eastAsiaTheme="majorEastAsia"/>
        </w:rPr>
        <w:t>Urban Operation fund</w:t>
      </w:r>
      <w:r>
        <w:rPr>
          <w:rFonts w:hint="eastAsia" w:cs="阿里巴巴普惠体 L" w:asciiTheme="majorEastAsia" w:hAnsiTheme="majorEastAsia" w:eastAsiaTheme="majorEastAsia"/>
        </w:rPr>
        <w:t>），仅用于城市运营项目预先制定的干预措施。</w:t>
      </w:r>
      <w:r>
        <w:rPr>
          <w:rFonts w:cs="阿里巴巴普惠体 L" w:asciiTheme="majorEastAsia" w:hAnsiTheme="majorEastAsia" w:eastAsiaTheme="majorEastAsia"/>
        </w:rPr>
        <w:t>圣保罗</w:t>
      </w:r>
      <w:r>
        <w:rPr>
          <w:rFonts w:hint="eastAsia" w:cs="阿里巴巴普惠体 L" w:asciiTheme="majorEastAsia" w:hAnsiTheme="majorEastAsia" w:eastAsiaTheme="majorEastAsia"/>
        </w:rPr>
        <w:t>强有力的机构监督有助于确保该地区公平、透明地使用该基金。</w:t>
      </w:r>
    </w:p>
    <w:p>
      <w:pPr>
        <w:pStyle w:val="7"/>
        <w:spacing w:line="360" w:lineRule="auto"/>
        <w:ind w:firstLine="480" w:firstLineChars="200"/>
        <w:jc w:val="both"/>
        <w:rPr>
          <w:rFonts w:cs="阿里巴巴普惠体 L" w:asciiTheme="majorEastAsia" w:hAnsiTheme="majorEastAsia" w:eastAsiaTheme="majorEastAsia"/>
        </w:rPr>
      </w:pPr>
      <w:r>
        <w:rPr>
          <w:rFonts w:hint="eastAsia" w:cs="阿里巴巴普惠体 L" w:asciiTheme="majorEastAsia" w:hAnsiTheme="majorEastAsia" w:eastAsiaTheme="majorEastAsia"/>
        </w:rPr>
        <w:t>O</w:t>
      </w:r>
      <w:r>
        <w:rPr>
          <w:rFonts w:cs="阿里巴巴普惠体 L" w:asciiTheme="majorEastAsia" w:hAnsiTheme="majorEastAsia" w:eastAsiaTheme="majorEastAsia"/>
        </w:rPr>
        <w:t>UCAE</w:t>
      </w:r>
      <w:r>
        <w:rPr>
          <w:rFonts w:hint="eastAsia" w:cs="阿里巴巴普惠体 L" w:asciiTheme="majorEastAsia" w:hAnsiTheme="majorEastAsia" w:eastAsiaTheme="majorEastAsia"/>
        </w:rPr>
        <w:t>管理委员会包括地方政府代表、私人投资商、社区成员以及民间社会团体，负责设置投资项目优先级并监督财务支出。委员会的讨论、财务报告和投资决定公开发布【注8】（</w:t>
      </w:r>
      <w:r>
        <w:rPr>
          <w:rFonts w:cs="阿里巴巴普惠体 L" w:asciiTheme="majorEastAsia" w:hAnsiTheme="majorEastAsia" w:eastAsiaTheme="majorEastAsia"/>
        </w:rPr>
        <w:t>圣保罗</w:t>
      </w:r>
      <w:r>
        <w:rPr>
          <w:rFonts w:hint="eastAsia" w:cs="阿里巴巴普惠体 L" w:asciiTheme="majorEastAsia" w:hAnsiTheme="majorEastAsia" w:eastAsiaTheme="majorEastAsia"/>
        </w:rPr>
        <w:t>市政厅-</w:t>
      </w:r>
      <w:r>
        <w:rPr>
          <w:rFonts w:cs="阿里巴巴普惠体 L" w:asciiTheme="majorEastAsia" w:hAnsiTheme="majorEastAsia" w:eastAsiaTheme="majorEastAsia"/>
        </w:rPr>
        <w:t>圣保罗</w:t>
      </w:r>
      <w:r>
        <w:rPr>
          <w:rFonts w:hint="eastAsia" w:cs="阿里巴巴普惠体 L" w:asciiTheme="majorEastAsia" w:hAnsiTheme="majorEastAsia" w:eastAsiaTheme="majorEastAsia"/>
        </w:rPr>
        <w:t xml:space="preserve">城镇化 </w:t>
      </w:r>
      <w:r>
        <w:rPr>
          <w:rFonts w:cs="阿里巴巴普惠体 L" w:asciiTheme="majorEastAsia" w:hAnsiTheme="majorEastAsia" w:eastAsiaTheme="majorEastAsia"/>
        </w:rPr>
        <w:t>2019</w:t>
      </w:r>
      <w:r>
        <w:rPr>
          <w:rFonts w:hint="eastAsia" w:cs="阿里巴巴普惠体 L" w:asciiTheme="majorEastAsia" w:hAnsiTheme="majorEastAsia" w:eastAsiaTheme="majorEastAsia"/>
        </w:rPr>
        <w:t>），使得低收入、弱势社区能够加入与之直接相关的公共干预措施的开放对话。这种参与式过程为</w:t>
      </w:r>
      <w:r>
        <w:rPr>
          <w:rFonts w:cs="阿里巴巴普惠体 L" w:asciiTheme="majorEastAsia" w:hAnsiTheme="majorEastAsia" w:eastAsiaTheme="majorEastAsia"/>
        </w:rPr>
        <w:t>圣保罗</w:t>
      </w:r>
      <w:r>
        <w:rPr>
          <w:rFonts w:hint="eastAsia" w:cs="阿里巴巴普惠体 L" w:asciiTheme="majorEastAsia" w:hAnsiTheme="majorEastAsia" w:eastAsiaTheme="majorEastAsia"/>
        </w:rPr>
        <w:t>战略总体规划中的社会包容性内容提供参考（Fajersztajn，2019年采访）。</w:t>
      </w:r>
    </w:p>
    <w:p>
      <w:pPr>
        <w:widowControl w:val="0"/>
        <w:spacing w:after="0" w:line="240" w:lineRule="auto"/>
        <w:jc w:val="both"/>
        <w:rPr>
          <w:rFonts w:ascii="阿里巴巴普惠体 L" w:hAnsi="阿里巴巴普惠体 L" w:eastAsia="阿里巴巴普惠体 L" w:cs="阿里巴巴普惠体 L"/>
          <w:sz w:val="28"/>
          <w:szCs w:val="28"/>
        </w:rPr>
      </w:pPr>
      <w:r>
        <w:rPr>
          <w:rFonts w:hint="eastAsia" w:ascii="阿里巴巴普惠体 L" w:hAnsi="阿里巴巴普惠体 L" w:eastAsia="阿里巴巴普惠体 L" w:cs="阿里巴巴普惠体 L"/>
          <w:kern w:val="2"/>
          <w:sz w:val="21"/>
          <w:szCs w:val="24"/>
        </w:rPr>
        <w:t>【注8】尽管定期发布数据报告，但多年来数据呈现方式不一，无法进行详细分析。</w:t>
      </w:r>
    </w:p>
    <w:p>
      <w:pPr>
        <w:pStyle w:val="7"/>
        <w:spacing w:line="360" w:lineRule="auto"/>
        <w:ind w:firstLine="480" w:firstLineChars="200"/>
        <w:jc w:val="both"/>
        <w:rPr>
          <w:rFonts w:cs="阿里巴巴普惠体 L" w:asciiTheme="majorEastAsia" w:hAnsiTheme="majorEastAsia" w:eastAsiaTheme="majorEastAsia"/>
        </w:rPr>
      </w:pPr>
      <w:r>
        <w:rPr>
          <w:rFonts w:hint="eastAsia" w:cs="阿里巴巴普惠体 L" w:asciiTheme="majorEastAsia" w:hAnsiTheme="majorEastAsia" w:eastAsiaTheme="majorEastAsia"/>
        </w:rPr>
        <w:t>除委员会外，外部的巴西证券交易委员会同样确保了CEPAC出售过程以及收益支出的透明性。只有在原有投资全计划完成的情况下，C</w:t>
      </w:r>
      <w:r>
        <w:rPr>
          <w:rFonts w:cs="阿里巴巴普惠体 L" w:asciiTheme="majorEastAsia" w:hAnsiTheme="majorEastAsia" w:eastAsiaTheme="majorEastAsia"/>
        </w:rPr>
        <w:t>VM</w:t>
      </w:r>
      <w:r>
        <w:rPr>
          <w:rFonts w:hint="eastAsia" w:cs="阿里巴巴普惠体 L" w:asciiTheme="majorEastAsia" w:hAnsiTheme="majorEastAsia" w:eastAsiaTheme="majorEastAsia"/>
        </w:rPr>
        <w:t>允许CEPAC进行重新分配，并确保房地产开发商以及公众进行监督。</w:t>
      </w:r>
    </w:p>
    <w:p>
      <w:pPr>
        <w:pStyle w:val="7"/>
        <w:spacing w:before="63" w:after="63"/>
        <w:jc w:val="both"/>
        <w:rPr>
          <w:rFonts w:ascii="阿里巴巴普惠体 L" w:hAnsi="阿里巴巴普惠体 L" w:eastAsia="阿里巴巴普惠体 L" w:cs="阿里巴巴普惠体 L"/>
          <w:sz w:val="28"/>
          <w:szCs w:val="28"/>
        </w:rPr>
      </w:pPr>
      <w:r>
        <w:rPr>
          <w:rFonts w:ascii="阿里巴巴普惠体 L" w:hAnsi="阿里巴巴普惠体 L" w:eastAsia="阿里巴巴普惠体 L" w:cs="阿里巴巴普惠体 L"/>
        </w:rPr>
        <w:drawing>
          <wp:inline distT="0" distB="0" distL="0" distR="0">
            <wp:extent cx="5486400" cy="2812415"/>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486400" cy="2812415"/>
                    </a:xfrm>
                    <a:prstGeom prst="rect">
                      <a:avLst/>
                    </a:prstGeom>
                  </pic:spPr>
                </pic:pic>
              </a:graphicData>
            </a:graphic>
          </wp:inline>
        </w:drawing>
      </w:r>
    </w:p>
    <w:p>
      <w:pPr>
        <w:pStyle w:val="7"/>
        <w:spacing w:before="63" w:after="63"/>
        <w:jc w:val="both"/>
        <w:rPr>
          <w:rFonts w:ascii="阿里巴巴普惠体 L" w:hAnsi="阿里巴巴普惠体 L" w:eastAsia="阿里巴巴普惠体 L" w:cs="阿里巴巴普惠体 L"/>
          <w:b/>
          <w:i/>
          <w:sz w:val="28"/>
          <w:szCs w:val="28"/>
        </w:rPr>
      </w:pPr>
      <w:r>
        <w:rPr>
          <w:rFonts w:hint="eastAsia" w:ascii="阿里巴巴普惠体 L" w:hAnsi="阿里巴巴普惠体 L" w:eastAsia="阿里巴巴普惠体 L" w:cs="阿里巴巴普惠体 L"/>
          <w:b/>
          <w:i/>
          <w:sz w:val="28"/>
          <w:szCs w:val="28"/>
        </w:rPr>
        <w:t>图6：</w:t>
      </w:r>
      <w:r>
        <w:rPr>
          <w:rFonts w:ascii="阿里巴巴普惠体 L" w:hAnsi="阿里巴巴普惠体 L" w:eastAsia="阿里巴巴普惠体 L" w:cs="阿里巴巴普惠体 L"/>
          <w:b/>
          <w:i/>
          <w:sz w:val="28"/>
          <w:szCs w:val="28"/>
          <w:shd w:val="pct10" w:color="auto" w:fill="FFFFFF"/>
        </w:rPr>
        <w:t>OUCAE</w:t>
      </w:r>
      <w:r>
        <w:rPr>
          <w:rFonts w:hint="eastAsia" w:ascii="阿里巴巴普惠体 L" w:hAnsi="阿里巴巴普惠体 L" w:eastAsia="阿里巴巴普惠体 L" w:cs="阿里巴巴普惠体 L"/>
          <w:b/>
          <w:i/>
          <w:sz w:val="28"/>
          <w:szCs w:val="28"/>
          <w:shd w:val="pct10" w:color="auto" w:fill="FFFFFF"/>
        </w:rPr>
        <w:t>利益相关方组织</w:t>
      </w:r>
      <w:r>
        <w:rPr>
          <w:rFonts w:hint="eastAsia" w:ascii="阿里巴巴普惠体 L" w:hAnsi="阿里巴巴普惠体 L" w:eastAsia="阿里巴巴普惠体 L" w:cs="阿里巴巴普惠体 L"/>
          <w:b/>
          <w:i/>
          <w:sz w:val="28"/>
          <w:szCs w:val="28"/>
        </w:rPr>
        <w:t>及O</w:t>
      </w:r>
      <w:r>
        <w:rPr>
          <w:rFonts w:ascii="阿里巴巴普惠体 L" w:hAnsi="阿里巴巴普惠体 L" w:eastAsia="阿里巴巴普惠体 L" w:cs="阿里巴巴普惠体 L"/>
          <w:b/>
          <w:i/>
          <w:sz w:val="28"/>
          <w:szCs w:val="28"/>
        </w:rPr>
        <w:t>UCAE</w:t>
      </w:r>
      <w:r>
        <w:rPr>
          <w:rFonts w:hint="eastAsia" w:ascii="阿里巴巴普惠体 L" w:hAnsi="阿里巴巴普惠体 L" w:eastAsia="阿里巴巴普惠体 L" w:cs="阿里巴巴普惠体 L"/>
          <w:b/>
          <w:i/>
          <w:sz w:val="28"/>
          <w:szCs w:val="28"/>
        </w:rPr>
        <w:t>流程</w:t>
      </w:r>
    </w:p>
    <w:p>
      <w:pPr>
        <w:pStyle w:val="7"/>
        <w:spacing w:before="63" w:after="63"/>
        <w:jc w:val="both"/>
        <w:rPr>
          <w:rFonts w:ascii="阿里巴巴普惠体 L" w:hAnsi="阿里巴巴普惠体 L" w:eastAsia="阿里巴巴普惠体 L" w:cs="阿里巴巴普惠体 L"/>
          <w:b/>
          <w:i/>
          <w:sz w:val="28"/>
          <w:szCs w:val="28"/>
        </w:rPr>
      </w:pPr>
      <w:r>
        <w:rPr>
          <w:rFonts w:hint="eastAsia" w:ascii="阿里巴巴普惠体 L" w:hAnsi="阿里巴巴普惠体 L" w:eastAsia="阿里巴巴普惠体 L" w:cs="阿里巴巴普惠体 L"/>
          <w:b/>
          <w:i/>
          <w:sz w:val="28"/>
          <w:szCs w:val="28"/>
        </w:rPr>
        <w:t>图：作者自绘</w:t>
      </w:r>
    </w:p>
    <w:p>
      <w:pPr>
        <w:pStyle w:val="7"/>
        <w:spacing w:before="63" w:after="63"/>
        <w:jc w:val="both"/>
        <w:rPr>
          <w:rFonts w:ascii="阿里巴巴普惠体 L" w:hAnsi="阿里巴巴普惠体 L" w:eastAsia="阿里巴巴普惠体 L" w:cs="阿里巴巴普惠体 L"/>
          <w:b/>
          <w:sz w:val="28"/>
          <w:szCs w:val="28"/>
          <w:u w:val="single"/>
        </w:rPr>
      </w:pPr>
      <w:r>
        <w:rPr>
          <w:rFonts w:hint="eastAsia" w:ascii="阿里巴巴普惠体 L" w:hAnsi="阿里巴巴普惠体 L" w:eastAsia="阿里巴巴普惠体 L" w:cs="阿里巴巴普惠体 L"/>
          <w:b/>
          <w:sz w:val="28"/>
          <w:szCs w:val="28"/>
          <w:u w:val="single"/>
        </w:rPr>
        <w:t>市场条件</w:t>
      </w:r>
    </w:p>
    <w:p>
      <w:pPr>
        <w:pStyle w:val="7"/>
        <w:spacing w:line="360" w:lineRule="auto"/>
        <w:ind w:firstLine="480" w:firstLineChars="200"/>
        <w:jc w:val="both"/>
        <w:rPr>
          <w:rFonts w:cs="阿里巴巴普惠体 L" w:asciiTheme="majorEastAsia" w:hAnsiTheme="majorEastAsia" w:eastAsiaTheme="majorEastAsia"/>
        </w:rPr>
      </w:pPr>
      <w:r>
        <w:rPr>
          <w:rFonts w:hint="eastAsia" w:cs="阿里巴巴普惠体 L" w:asciiTheme="majorEastAsia" w:hAnsiTheme="majorEastAsia" w:eastAsiaTheme="majorEastAsia"/>
        </w:rPr>
        <w:t>OUCAE项目带来的发展改变了地区，土地价值增加并实现多用途开发。 但是，绅士化造成高端企业迁入，其产品对于许多低收入的原住民来说却无福消受（Fajersztajn，Fonseca Ignatios和Partezani，2019年访谈）。</w:t>
      </w:r>
    </w:p>
    <w:p>
      <w:pPr>
        <w:pStyle w:val="7"/>
        <w:spacing w:before="63" w:after="63"/>
        <w:jc w:val="both"/>
        <w:rPr>
          <w:rFonts w:ascii="阿里巴巴普惠体 L" w:hAnsi="阿里巴巴普惠体 L" w:eastAsia="阿里巴巴普惠体 L" w:cs="阿里巴巴普惠体 L"/>
          <w:b/>
          <w:sz w:val="32"/>
          <w:szCs w:val="32"/>
          <w:u w:val="single"/>
        </w:rPr>
      </w:pPr>
      <w:r>
        <w:rPr>
          <w:rFonts w:hint="eastAsia" w:ascii="阿里巴巴普惠体 L" w:hAnsi="阿里巴巴普惠体 L" w:eastAsia="阿里巴巴普惠体 L" w:cs="阿里巴巴普惠体 L"/>
          <w:b/>
          <w:sz w:val="32"/>
          <w:szCs w:val="32"/>
          <w:u w:val="single"/>
        </w:rPr>
        <w:t>4</w:t>
      </w:r>
      <w:r>
        <w:rPr>
          <w:rFonts w:ascii="阿里巴巴普惠体 L" w:hAnsi="阿里巴巴普惠体 L" w:eastAsia="阿里巴巴普惠体 L" w:cs="阿里巴巴普惠体 L"/>
          <w:b/>
          <w:sz w:val="32"/>
          <w:szCs w:val="32"/>
          <w:u w:val="single"/>
        </w:rPr>
        <w:t xml:space="preserve">.1.4. </w:t>
      </w:r>
      <w:r>
        <w:rPr>
          <w:rFonts w:hint="eastAsia" w:ascii="阿里巴巴普惠体 L" w:hAnsi="阿里巴巴普惠体 L" w:eastAsia="阿里巴巴普惠体 L" w:cs="阿里巴巴普惠体 L"/>
          <w:b/>
          <w:sz w:val="32"/>
          <w:szCs w:val="32"/>
          <w:u w:val="single"/>
        </w:rPr>
        <w:t>LVC机制的公平性和财政影响</w:t>
      </w:r>
    </w:p>
    <w:p>
      <w:pPr>
        <w:pStyle w:val="7"/>
        <w:spacing w:line="360" w:lineRule="auto"/>
        <w:ind w:firstLine="480" w:firstLineChars="200"/>
        <w:jc w:val="both"/>
        <w:rPr>
          <w:rFonts w:cs="阿里巴巴普惠体 L" w:asciiTheme="majorEastAsia" w:hAnsiTheme="majorEastAsia" w:eastAsiaTheme="majorEastAsia"/>
        </w:rPr>
      </w:pPr>
      <w:r>
        <w:rPr>
          <w:rFonts w:hint="eastAsia" w:cs="阿里巴巴普惠体 L" w:asciiTheme="majorEastAsia" w:hAnsiTheme="majorEastAsia" w:eastAsiaTheme="majorEastAsia"/>
        </w:rPr>
        <w:t>O</w:t>
      </w:r>
      <w:r>
        <w:rPr>
          <w:rFonts w:cs="阿里巴巴普惠体 L" w:asciiTheme="majorEastAsia" w:hAnsiTheme="majorEastAsia" w:eastAsiaTheme="majorEastAsia"/>
        </w:rPr>
        <w:t>UCAE</w:t>
      </w:r>
      <w:r>
        <w:rPr>
          <w:rFonts w:hint="eastAsia" w:cs="阿里巴巴普惠体 L" w:asciiTheme="majorEastAsia" w:hAnsiTheme="majorEastAsia" w:eastAsiaTheme="majorEastAsia"/>
        </w:rPr>
        <w:t>是一个创新项目，将公共和私人利益与地方城市发展联系在一起。尽管无法避免原住民被排斥搬迁，O</w:t>
      </w:r>
      <w:r>
        <w:rPr>
          <w:rFonts w:cs="阿里巴巴普惠体 L" w:asciiTheme="majorEastAsia" w:hAnsiTheme="majorEastAsia" w:eastAsiaTheme="majorEastAsia"/>
        </w:rPr>
        <w:t>UCAE</w:t>
      </w:r>
      <w:r>
        <w:rPr>
          <w:rFonts w:hint="eastAsia" w:cs="阿里巴巴普惠体 L" w:asciiTheme="majorEastAsia" w:hAnsiTheme="majorEastAsia" w:eastAsiaTheme="majorEastAsia"/>
        </w:rPr>
        <w:t>在解决非正规住房问题方面仍给出了保留部分支出与一定的土地用于低收入住房（Z</w:t>
      </w:r>
      <w:r>
        <w:rPr>
          <w:rFonts w:cs="阿里巴巴普惠体 L" w:asciiTheme="majorEastAsia" w:hAnsiTheme="majorEastAsia" w:eastAsiaTheme="majorEastAsia"/>
        </w:rPr>
        <w:t>EIS</w:t>
      </w:r>
      <w:r>
        <w:rPr>
          <w:rFonts w:hint="eastAsia" w:cs="阿里巴巴普惠体 L" w:asciiTheme="majorEastAsia" w:hAnsiTheme="majorEastAsia" w:eastAsiaTheme="majorEastAsia"/>
        </w:rPr>
        <w:t>）的方案。管理委员会在决策过程中体现了包容性与参与性治理原则。O</w:t>
      </w:r>
      <w:r>
        <w:rPr>
          <w:rFonts w:cs="阿里巴巴普惠体 L" w:asciiTheme="majorEastAsia" w:hAnsiTheme="majorEastAsia" w:eastAsiaTheme="majorEastAsia"/>
        </w:rPr>
        <w:t>UCAE</w:t>
      </w:r>
      <w:r>
        <w:rPr>
          <w:rFonts w:hint="eastAsia" w:cs="阿里巴巴普惠体 L" w:asciiTheme="majorEastAsia" w:hAnsiTheme="majorEastAsia" w:eastAsiaTheme="majorEastAsia"/>
        </w:rPr>
        <w:t>项目中公共和私人利益的成功协调（至少是原则上）启发了巴西其他的土地价值捕获项目。例如，2</w:t>
      </w:r>
      <w:r>
        <w:rPr>
          <w:rFonts w:cs="阿里巴巴普惠体 L" w:asciiTheme="majorEastAsia" w:hAnsiTheme="majorEastAsia" w:eastAsiaTheme="majorEastAsia"/>
        </w:rPr>
        <w:t>011</w:t>
      </w:r>
      <w:r>
        <w:rPr>
          <w:rFonts w:hint="eastAsia" w:cs="阿里巴巴普惠体 L" w:asciiTheme="majorEastAsia" w:hAnsiTheme="majorEastAsia" w:eastAsiaTheme="majorEastAsia"/>
        </w:rPr>
        <w:t>年，里约热内卢利用C</w:t>
      </w:r>
      <w:r>
        <w:rPr>
          <w:rFonts w:cs="阿里巴巴普惠体 L" w:asciiTheme="majorEastAsia" w:hAnsiTheme="majorEastAsia" w:eastAsiaTheme="majorEastAsia"/>
        </w:rPr>
        <w:t>EPAC</w:t>
      </w:r>
      <w:r>
        <w:rPr>
          <w:rFonts w:hint="eastAsia" w:cs="阿里巴巴普惠体 L" w:asciiTheme="majorEastAsia" w:hAnsiTheme="majorEastAsia" w:eastAsiaTheme="majorEastAsia"/>
        </w:rPr>
        <w:t>融资机制设立了O</w:t>
      </w:r>
      <w:r>
        <w:rPr>
          <w:rFonts w:cs="阿里巴巴普惠体 L" w:asciiTheme="majorEastAsia" w:hAnsiTheme="majorEastAsia" w:eastAsiaTheme="majorEastAsia"/>
        </w:rPr>
        <w:t>UC Porto Maravilha</w:t>
      </w:r>
      <w:r>
        <w:rPr>
          <w:rFonts w:hint="eastAsia" w:cs="阿里巴巴普惠体 L" w:asciiTheme="majorEastAsia" w:hAnsiTheme="majorEastAsia" w:eastAsiaTheme="majorEastAsia"/>
        </w:rPr>
        <w:t>，同年库里提巴的O</w:t>
      </w:r>
      <w:r>
        <w:rPr>
          <w:rFonts w:cs="阿里巴巴普惠体 L" w:asciiTheme="majorEastAsia" w:hAnsiTheme="majorEastAsia" w:eastAsiaTheme="majorEastAsia"/>
        </w:rPr>
        <w:t xml:space="preserve">UC </w:t>
      </w:r>
      <w:r>
        <w:rPr>
          <w:rFonts w:hint="eastAsia" w:cs="阿里巴巴普惠体 L" w:asciiTheme="majorEastAsia" w:hAnsiTheme="majorEastAsia" w:eastAsiaTheme="majorEastAsia"/>
        </w:rPr>
        <w:t>Linha Verde紧随其后。</w:t>
      </w:r>
    </w:p>
    <w:p>
      <w:pPr>
        <w:pStyle w:val="7"/>
        <w:spacing w:line="360" w:lineRule="auto"/>
        <w:ind w:firstLine="480" w:firstLineChars="200"/>
        <w:jc w:val="both"/>
        <w:rPr>
          <w:rFonts w:cs="阿里巴巴普惠体 L" w:asciiTheme="majorEastAsia" w:hAnsiTheme="majorEastAsia" w:eastAsiaTheme="majorEastAsia"/>
        </w:rPr>
      </w:pPr>
      <w:r>
        <w:rPr>
          <w:rFonts w:hint="eastAsia" w:cs="阿里巴巴普惠体 L" w:asciiTheme="majorEastAsia" w:hAnsiTheme="majorEastAsia" w:eastAsiaTheme="majorEastAsia"/>
        </w:rPr>
        <w:t>然而O</w:t>
      </w:r>
      <w:r>
        <w:rPr>
          <w:rFonts w:cs="阿里巴巴普惠体 L" w:asciiTheme="majorEastAsia" w:hAnsiTheme="majorEastAsia" w:eastAsiaTheme="majorEastAsia"/>
        </w:rPr>
        <w:t>UCAE</w:t>
      </w:r>
      <w:r>
        <w:rPr>
          <w:rFonts w:hint="eastAsia" w:cs="阿里巴巴普惠体 L" w:asciiTheme="majorEastAsia" w:hAnsiTheme="majorEastAsia" w:eastAsiaTheme="majorEastAsia"/>
        </w:rPr>
        <w:t>却没有实现其最重要的目标之一——通过L</w:t>
      </w:r>
      <w:r>
        <w:rPr>
          <w:rFonts w:cs="阿里巴巴普惠体 L" w:asciiTheme="majorEastAsia" w:hAnsiTheme="majorEastAsia" w:eastAsiaTheme="majorEastAsia"/>
        </w:rPr>
        <w:t>VC</w:t>
      </w:r>
      <w:r>
        <w:rPr>
          <w:rFonts w:hint="eastAsia" w:cs="阿里巴巴普惠体 L" w:asciiTheme="majorEastAsia" w:hAnsiTheme="majorEastAsia" w:eastAsiaTheme="majorEastAsia"/>
        </w:rPr>
        <w:t>改善非正规住房居民的生活条件（</w:t>
      </w:r>
      <w:r>
        <w:rPr>
          <w:rFonts w:cs="阿里巴巴普惠体 L" w:asciiTheme="majorEastAsia" w:hAnsiTheme="majorEastAsia" w:eastAsiaTheme="majorEastAsia"/>
        </w:rPr>
        <w:t>圣保罗</w:t>
      </w:r>
      <w:r>
        <w:rPr>
          <w:rFonts w:hint="eastAsia" w:cs="阿里巴巴普惠体 L" w:asciiTheme="majorEastAsia" w:hAnsiTheme="majorEastAsia" w:eastAsiaTheme="majorEastAsia"/>
        </w:rPr>
        <w:t>市政厅，2</w:t>
      </w:r>
      <w:r>
        <w:rPr>
          <w:rFonts w:cs="阿里巴巴普惠体 L" w:asciiTheme="majorEastAsia" w:hAnsiTheme="majorEastAsia" w:eastAsiaTheme="majorEastAsia"/>
        </w:rPr>
        <w:t>001</w:t>
      </w:r>
      <w:r>
        <w:rPr>
          <w:rFonts w:hint="eastAsia" w:cs="阿里巴巴普惠体 L" w:asciiTheme="majorEastAsia" w:hAnsiTheme="majorEastAsia" w:eastAsiaTheme="majorEastAsia"/>
        </w:rPr>
        <w:t>）。虽然项目地明显改善，但所得利益却没有通过社会经济团体实现均衡份分配。绅士化以及高昂的基础设施和城市服务成本困扰着地区发展，在项目完工后仍有居民家庭被迫离开（Fajersztajn，2019年采访）。</w:t>
      </w:r>
    </w:p>
    <w:p>
      <w:pPr>
        <w:pStyle w:val="7"/>
        <w:spacing w:line="360" w:lineRule="auto"/>
        <w:ind w:firstLine="480" w:firstLineChars="200"/>
        <w:jc w:val="both"/>
        <w:rPr>
          <w:rFonts w:cs="阿里巴巴普惠体 L" w:asciiTheme="majorEastAsia" w:hAnsiTheme="majorEastAsia" w:eastAsiaTheme="majorEastAsia"/>
        </w:rPr>
      </w:pPr>
      <w:r>
        <w:rPr>
          <w:rFonts w:hint="eastAsia" w:cs="阿里巴巴普惠体 L" w:asciiTheme="majorEastAsia" w:hAnsiTheme="majorEastAsia" w:eastAsiaTheme="majorEastAsia"/>
        </w:rPr>
        <w:t>仅有L</w:t>
      </w:r>
      <w:r>
        <w:rPr>
          <w:rFonts w:cs="阿里巴巴普惠体 L" w:asciiTheme="majorEastAsia" w:hAnsiTheme="majorEastAsia" w:eastAsiaTheme="majorEastAsia"/>
        </w:rPr>
        <w:t>VC</w:t>
      </w:r>
      <w:r>
        <w:rPr>
          <w:rFonts w:hint="eastAsia" w:cs="阿里巴巴普惠体 L" w:asciiTheme="majorEastAsia" w:hAnsiTheme="majorEastAsia" w:eastAsiaTheme="majorEastAsia"/>
        </w:rPr>
        <w:t>不能保证城市的公平收益。但是，城市可以采取行动，通过将收益直接拨付弱势社区、制定控制绅士化最小化的规则制度、划定用于公共投资的专项用地以减少成本提供压力，来提高L</w:t>
      </w:r>
      <w:r>
        <w:rPr>
          <w:rFonts w:cs="阿里巴巴普惠体 L" w:asciiTheme="majorEastAsia" w:hAnsiTheme="majorEastAsia" w:eastAsiaTheme="majorEastAsia"/>
        </w:rPr>
        <w:t>VC</w:t>
      </w:r>
      <w:r>
        <w:rPr>
          <w:rFonts w:hint="eastAsia" w:cs="阿里巴巴普惠体 L" w:asciiTheme="majorEastAsia" w:hAnsiTheme="majorEastAsia" w:eastAsiaTheme="majorEastAsia"/>
        </w:rPr>
        <w:t>项目产出的公平性。</w:t>
      </w:r>
    </w:p>
    <w:p>
      <w:pPr>
        <w:pStyle w:val="7"/>
        <w:spacing w:before="63" w:after="63"/>
        <w:jc w:val="both"/>
        <w:rPr>
          <w:rFonts w:ascii="阿里巴巴普惠体 L" w:hAnsi="阿里巴巴普惠体 L" w:eastAsia="阿里巴巴普惠体 L" w:cs="阿里巴巴普惠体 L"/>
          <w:b/>
          <w:sz w:val="36"/>
          <w:szCs w:val="36"/>
          <w:u w:val="single"/>
        </w:rPr>
      </w:pPr>
      <w:r>
        <w:rPr>
          <w:rFonts w:hint="eastAsia" w:ascii="阿里巴巴普惠体 L" w:hAnsi="阿里巴巴普惠体 L" w:eastAsia="阿里巴巴普惠体 L" w:cs="阿里巴巴普惠体 L"/>
          <w:b/>
          <w:sz w:val="36"/>
          <w:szCs w:val="36"/>
          <w:u w:val="single"/>
        </w:rPr>
        <w:t>OUCAE项目的公平性影响</w:t>
      </w:r>
    </w:p>
    <w:p>
      <w:pPr>
        <w:pStyle w:val="7"/>
        <w:spacing w:line="360" w:lineRule="auto"/>
        <w:ind w:firstLine="480" w:firstLineChars="200"/>
        <w:jc w:val="both"/>
        <w:rPr>
          <w:rFonts w:cs="阿里巴巴普惠体 L" w:asciiTheme="majorEastAsia" w:hAnsiTheme="majorEastAsia" w:eastAsiaTheme="majorEastAsia"/>
        </w:rPr>
      </w:pPr>
      <w:r>
        <w:rPr>
          <w:rFonts w:hint="eastAsia" w:cs="阿里巴巴普惠体 L" w:asciiTheme="majorEastAsia" w:hAnsiTheme="majorEastAsia" w:eastAsiaTheme="majorEastAsia"/>
        </w:rPr>
        <w:t>CEPAC的初衷是使所有居民受益，但其筹集的收入并未在收入群体之间平均分配。只有3</w:t>
      </w:r>
      <w:r>
        <w:rPr>
          <w:rFonts w:cs="阿里巴巴普惠体 L" w:asciiTheme="majorEastAsia" w:hAnsiTheme="majorEastAsia" w:eastAsiaTheme="majorEastAsia"/>
        </w:rPr>
        <w:t>3.7</w:t>
      </w:r>
      <w:r>
        <w:rPr>
          <w:rFonts w:hint="eastAsia" w:cs="阿里巴巴普惠体 L" w:asciiTheme="majorEastAsia" w:hAnsiTheme="majorEastAsia" w:eastAsiaTheme="majorEastAsia"/>
        </w:rPr>
        <w:t>%的价值增量被投入有益于低收入家庭的基础设施与城市服务，5</w:t>
      </w:r>
      <w:r>
        <w:rPr>
          <w:rFonts w:cs="阿里巴巴普惠体 L" w:asciiTheme="majorEastAsia" w:hAnsiTheme="majorEastAsia" w:eastAsiaTheme="majorEastAsia"/>
        </w:rPr>
        <w:t>9.6</w:t>
      </w:r>
      <w:r>
        <w:rPr>
          <w:rFonts w:hint="eastAsia" w:cs="阿里巴巴普惠体 L" w:asciiTheme="majorEastAsia" w:hAnsiTheme="majorEastAsia" w:eastAsiaTheme="majorEastAsia"/>
        </w:rPr>
        <w:t>%用于改善个人交通的道路基础设施，如大道、未完成的隧道以及斜拉桥，这些只有汽车可以使用。此外，尽管O</w:t>
      </w:r>
      <w:r>
        <w:rPr>
          <w:rFonts w:cs="阿里巴巴普惠体 L" w:asciiTheme="majorEastAsia" w:hAnsiTheme="majorEastAsia" w:eastAsiaTheme="majorEastAsia"/>
        </w:rPr>
        <w:t>UCAE</w:t>
      </w:r>
      <w:r>
        <w:rPr>
          <w:rFonts w:hint="eastAsia" w:cs="阿里巴巴普惠体 L" w:asciiTheme="majorEastAsia" w:hAnsiTheme="majorEastAsia" w:eastAsiaTheme="majorEastAsia"/>
        </w:rPr>
        <w:t>项目试图避免绅士化，但提供的社会住房数量仍不足以供应因地区建设而流离失所的大量低收入家庭。多达8</w:t>
      </w:r>
      <w:r>
        <w:rPr>
          <w:rFonts w:cs="阿里巴巴普惠体 L" w:asciiTheme="majorEastAsia" w:hAnsiTheme="majorEastAsia" w:eastAsiaTheme="majorEastAsia"/>
        </w:rPr>
        <w:t>000</w:t>
      </w:r>
      <w:r>
        <w:rPr>
          <w:rFonts w:hint="eastAsia" w:cs="阿里巴巴普惠体 L" w:asciiTheme="majorEastAsia" w:hAnsiTheme="majorEastAsia" w:eastAsiaTheme="majorEastAsia"/>
        </w:rPr>
        <w:t>个家庭因为项目失去住房却没有得到合适地安置（即许多人重新回到当地河岸的贫民窟）（Fajersztajn，2019年采访）。与其说是LVC机制设计的公平性或有效性的失败，不如说是LVC收入公平支出（或项目实施）的失败。由于我们正在考虑实施城市土地价值捕获计划与城市发展项目带来的财政和公平性的影响，因此如果项目收益无法公平分配，就无法承认L</w:t>
      </w:r>
      <w:r>
        <w:rPr>
          <w:rFonts w:cs="阿里巴巴普惠体 L" w:asciiTheme="majorEastAsia" w:hAnsiTheme="majorEastAsia" w:eastAsiaTheme="majorEastAsia"/>
        </w:rPr>
        <w:t>VC</w:t>
      </w:r>
      <w:r>
        <w:rPr>
          <w:rFonts w:hint="eastAsia" w:cs="阿里巴巴普惠体 L" w:asciiTheme="majorEastAsia" w:hAnsiTheme="majorEastAsia" w:eastAsiaTheme="majorEastAsia"/>
        </w:rPr>
        <w:t>的成功。</w:t>
      </w:r>
    </w:p>
    <w:p>
      <w:pPr>
        <w:pStyle w:val="7"/>
        <w:spacing w:before="63" w:after="63"/>
        <w:jc w:val="both"/>
        <w:rPr>
          <w:rFonts w:ascii="阿里巴巴普惠体 L" w:hAnsi="阿里巴巴普惠体 L" w:eastAsia="阿里巴巴普惠体 L" w:cs="阿里巴巴普惠体 L"/>
          <w:sz w:val="22"/>
          <w:szCs w:val="22"/>
        </w:rPr>
      </w:pPr>
      <w:r>
        <w:rPr>
          <w:rFonts w:hint="eastAsia" w:ascii="阿里巴巴普惠体 L" w:hAnsi="阿里巴巴普惠体 L" w:eastAsia="阿里巴巴普惠体 L" w:cs="阿里巴巴普惠体 L"/>
          <w:b/>
          <w:sz w:val="28"/>
          <w:szCs w:val="28"/>
          <w:u w:val="single"/>
        </w:rPr>
        <w:t>OUCAE项目的财政影响</w:t>
      </w:r>
    </w:p>
    <w:p>
      <w:pPr>
        <w:pStyle w:val="7"/>
        <w:spacing w:line="360" w:lineRule="auto"/>
        <w:ind w:firstLine="480" w:firstLineChars="200"/>
        <w:jc w:val="both"/>
        <w:rPr>
          <w:rFonts w:cs="阿里巴巴普惠体 L" w:asciiTheme="majorEastAsia" w:hAnsiTheme="majorEastAsia" w:eastAsiaTheme="majorEastAsia"/>
        </w:rPr>
      </w:pPr>
      <w:r>
        <w:rPr>
          <w:rFonts w:hint="eastAsia" w:cs="阿里巴巴普惠体 L" w:asciiTheme="majorEastAsia" w:hAnsiTheme="majorEastAsia" w:eastAsiaTheme="majorEastAsia"/>
        </w:rPr>
        <w:t>O</w:t>
      </w:r>
      <w:r>
        <w:rPr>
          <w:rFonts w:cs="阿里巴巴普惠体 L" w:asciiTheme="majorEastAsia" w:hAnsiTheme="majorEastAsia" w:eastAsiaTheme="majorEastAsia"/>
        </w:rPr>
        <w:t>UCAE</w:t>
      </w:r>
      <w:r>
        <w:rPr>
          <w:rFonts w:hint="eastAsia" w:cs="阿里巴巴普惠体 L" w:asciiTheme="majorEastAsia" w:hAnsiTheme="majorEastAsia" w:eastAsiaTheme="majorEastAsia"/>
        </w:rPr>
        <w:t>在2</w:t>
      </w:r>
      <w:r>
        <w:rPr>
          <w:rFonts w:cs="阿里巴巴普惠体 L" w:asciiTheme="majorEastAsia" w:hAnsiTheme="majorEastAsia" w:eastAsiaTheme="majorEastAsia"/>
        </w:rPr>
        <w:t>004</w:t>
      </w:r>
      <w:r>
        <w:rPr>
          <w:rFonts w:hint="eastAsia" w:cs="阿里巴巴普惠体 L" w:asciiTheme="majorEastAsia" w:hAnsiTheme="majorEastAsia" w:eastAsiaTheme="majorEastAsia"/>
        </w:rPr>
        <w:t>到2</w:t>
      </w:r>
      <w:r>
        <w:rPr>
          <w:rFonts w:cs="阿里巴巴普惠体 L" w:asciiTheme="majorEastAsia" w:hAnsiTheme="majorEastAsia" w:eastAsiaTheme="majorEastAsia"/>
        </w:rPr>
        <w:t>012</w:t>
      </w:r>
      <w:r>
        <w:rPr>
          <w:rFonts w:hint="eastAsia" w:cs="阿里巴巴普惠体 L" w:asciiTheme="majorEastAsia" w:hAnsiTheme="majorEastAsia" w:eastAsiaTheme="majorEastAsia"/>
        </w:rPr>
        <w:t>年间【注9】（</w:t>
      </w:r>
      <w:r>
        <w:rPr>
          <w:rFonts w:cs="阿里巴巴普惠体 L" w:asciiTheme="majorEastAsia" w:hAnsiTheme="majorEastAsia" w:eastAsiaTheme="majorEastAsia"/>
        </w:rPr>
        <w:t>圣保罗</w:t>
      </w:r>
      <w:r>
        <w:rPr>
          <w:rFonts w:hint="eastAsia" w:cs="阿里巴巴普惠体 L" w:asciiTheme="majorEastAsia" w:hAnsiTheme="majorEastAsia" w:eastAsiaTheme="majorEastAsia"/>
        </w:rPr>
        <w:t>市政厅-</w:t>
      </w:r>
      <w:r>
        <w:rPr>
          <w:rFonts w:cs="阿里巴巴普惠体 L" w:asciiTheme="majorEastAsia" w:hAnsiTheme="majorEastAsia" w:eastAsiaTheme="majorEastAsia"/>
        </w:rPr>
        <w:t>圣保罗</w:t>
      </w:r>
      <w:r>
        <w:rPr>
          <w:rFonts w:hint="eastAsia" w:cs="阿里巴巴普惠体 L" w:asciiTheme="majorEastAsia" w:hAnsiTheme="majorEastAsia" w:eastAsiaTheme="majorEastAsia"/>
        </w:rPr>
        <w:t xml:space="preserve">城镇化 </w:t>
      </w:r>
      <w:r>
        <w:rPr>
          <w:rFonts w:cs="阿里巴巴普惠体 L" w:asciiTheme="majorEastAsia" w:hAnsiTheme="majorEastAsia" w:eastAsiaTheme="majorEastAsia"/>
        </w:rPr>
        <w:t>2019</w:t>
      </w:r>
      <w:r>
        <w:rPr>
          <w:rFonts w:hint="eastAsia" w:cs="阿里巴巴普惠体 L" w:asciiTheme="majorEastAsia" w:hAnsiTheme="majorEastAsia" w:eastAsiaTheme="majorEastAsia"/>
        </w:rPr>
        <w:t>），通过拍卖3</w:t>
      </w:r>
      <w:r>
        <w:rPr>
          <w:rFonts w:cs="阿里巴巴普惠体 L" w:asciiTheme="majorEastAsia" w:hAnsiTheme="majorEastAsia" w:eastAsiaTheme="majorEastAsia"/>
        </w:rPr>
        <w:t>40</w:t>
      </w:r>
      <w:r>
        <w:rPr>
          <w:rFonts w:hint="eastAsia" w:cs="阿里巴巴普惠体 L" w:asciiTheme="majorEastAsia" w:hAnsiTheme="majorEastAsia" w:eastAsiaTheme="majorEastAsia"/>
        </w:rPr>
        <w:t>万份CEPAC筹集了2</w:t>
      </w:r>
      <w:r>
        <w:rPr>
          <w:rFonts w:cs="阿里巴巴普惠体 L" w:asciiTheme="majorEastAsia" w:hAnsiTheme="majorEastAsia" w:eastAsiaTheme="majorEastAsia"/>
        </w:rPr>
        <w:t>9</w:t>
      </w:r>
      <w:r>
        <w:rPr>
          <w:rFonts w:hint="eastAsia" w:cs="阿里巴巴普惠体 L" w:asciiTheme="majorEastAsia" w:hAnsiTheme="majorEastAsia" w:eastAsiaTheme="majorEastAsia"/>
        </w:rPr>
        <w:t>亿巴西雷亚尔（</w:t>
      </w:r>
      <w:r>
        <w:rPr>
          <w:rFonts w:cs="阿里巴巴普惠体 L" w:asciiTheme="majorEastAsia" w:hAnsiTheme="majorEastAsia" w:eastAsiaTheme="majorEastAsia"/>
        </w:rPr>
        <w:t>8.06</w:t>
      </w:r>
      <w:r>
        <w:rPr>
          <w:rFonts w:hint="eastAsia" w:cs="阿里巴巴普惠体 L" w:asciiTheme="majorEastAsia" w:hAnsiTheme="majorEastAsia" w:eastAsiaTheme="majorEastAsia"/>
        </w:rPr>
        <w:t>亿美元【注1</w:t>
      </w:r>
      <w:r>
        <w:rPr>
          <w:rFonts w:cs="阿里巴巴普惠体 L" w:asciiTheme="majorEastAsia" w:hAnsiTheme="majorEastAsia" w:eastAsiaTheme="majorEastAsia"/>
        </w:rPr>
        <w:t>0</w:t>
      </w:r>
      <w:r>
        <w:rPr>
          <w:rFonts w:hint="eastAsia" w:cs="阿里巴巴普惠体 L" w:asciiTheme="majorEastAsia" w:hAnsiTheme="majorEastAsia" w:eastAsiaTheme="majorEastAsia"/>
        </w:rPr>
        <w:t>】）的土地总价值。在2</w:t>
      </w:r>
      <w:r>
        <w:rPr>
          <w:rFonts w:cs="阿里巴巴普惠体 L" w:asciiTheme="majorEastAsia" w:hAnsiTheme="majorEastAsia" w:eastAsiaTheme="majorEastAsia"/>
        </w:rPr>
        <w:t>004</w:t>
      </w:r>
      <w:r>
        <w:rPr>
          <w:rFonts w:hint="eastAsia" w:cs="阿里巴巴普惠体 L" w:asciiTheme="majorEastAsia" w:hAnsiTheme="majorEastAsia" w:eastAsiaTheme="majorEastAsia"/>
        </w:rPr>
        <w:t>到2</w:t>
      </w:r>
      <w:r>
        <w:rPr>
          <w:rFonts w:cs="阿里巴巴普惠体 L" w:asciiTheme="majorEastAsia" w:hAnsiTheme="majorEastAsia" w:eastAsiaTheme="majorEastAsia"/>
        </w:rPr>
        <w:t>019</w:t>
      </w:r>
      <w:r>
        <w:rPr>
          <w:rFonts w:hint="eastAsia" w:cs="阿里巴巴普惠体 L" w:asciiTheme="majorEastAsia" w:hAnsiTheme="majorEastAsia" w:eastAsiaTheme="majorEastAsia"/>
        </w:rPr>
        <w:t>年1月间（</w:t>
      </w:r>
      <w:r>
        <w:rPr>
          <w:rFonts w:cs="阿里巴巴普惠体 L" w:asciiTheme="majorEastAsia" w:hAnsiTheme="majorEastAsia" w:eastAsiaTheme="majorEastAsia"/>
        </w:rPr>
        <w:t>圣保罗</w:t>
      </w:r>
      <w:r>
        <w:rPr>
          <w:rFonts w:hint="eastAsia" w:cs="阿里巴巴普惠体 L" w:asciiTheme="majorEastAsia" w:hAnsiTheme="majorEastAsia" w:eastAsiaTheme="majorEastAsia"/>
        </w:rPr>
        <w:t>市政厅-</w:t>
      </w:r>
      <w:r>
        <w:rPr>
          <w:rFonts w:cs="阿里巴巴普惠体 L" w:asciiTheme="majorEastAsia" w:hAnsiTheme="majorEastAsia" w:eastAsiaTheme="majorEastAsia"/>
        </w:rPr>
        <w:t>圣保罗</w:t>
      </w:r>
      <w:r>
        <w:rPr>
          <w:rFonts w:hint="eastAsia" w:cs="阿里巴巴普惠体 L" w:asciiTheme="majorEastAsia" w:hAnsiTheme="majorEastAsia" w:eastAsiaTheme="majorEastAsia"/>
        </w:rPr>
        <w:t xml:space="preserve">城镇化 </w:t>
      </w:r>
      <w:r>
        <w:rPr>
          <w:rFonts w:cs="阿里巴巴普惠体 L" w:asciiTheme="majorEastAsia" w:hAnsiTheme="majorEastAsia" w:eastAsiaTheme="majorEastAsia"/>
        </w:rPr>
        <w:t>2019</w:t>
      </w:r>
      <w:r>
        <w:rPr>
          <w:rFonts w:hint="eastAsia" w:cs="阿里巴巴普惠体 L" w:asciiTheme="majorEastAsia" w:hAnsiTheme="majorEastAsia" w:eastAsiaTheme="majorEastAsia"/>
        </w:rPr>
        <w:t>），通过O</w:t>
      </w:r>
      <w:r>
        <w:rPr>
          <w:rFonts w:cs="阿里巴巴普惠体 L" w:asciiTheme="majorEastAsia" w:hAnsiTheme="majorEastAsia" w:eastAsiaTheme="majorEastAsia"/>
        </w:rPr>
        <w:t>UCAE</w:t>
      </w:r>
      <w:r>
        <w:rPr>
          <w:rFonts w:hint="eastAsia" w:cs="阿里巴巴普惠体 L" w:asciiTheme="majorEastAsia" w:hAnsiTheme="majorEastAsia" w:eastAsiaTheme="majorEastAsia"/>
        </w:rPr>
        <w:t>基金财务报酬中获得的收入，累计资源达到3</w:t>
      </w:r>
      <w:r>
        <w:rPr>
          <w:rFonts w:cs="阿里巴巴普惠体 L" w:asciiTheme="majorEastAsia" w:hAnsiTheme="majorEastAsia" w:eastAsiaTheme="majorEastAsia"/>
        </w:rPr>
        <w:t>9</w:t>
      </w:r>
      <w:r>
        <w:rPr>
          <w:rFonts w:hint="eastAsia" w:cs="阿里巴巴普惠体 L" w:asciiTheme="majorEastAsia" w:hAnsiTheme="majorEastAsia" w:eastAsiaTheme="majorEastAsia"/>
        </w:rPr>
        <w:t>亿巴西雷亚尔。CEPAC在该项目中的使用是成功的，筹集的总收入超出传统L</w:t>
      </w:r>
      <w:r>
        <w:rPr>
          <w:rFonts w:cs="阿里巴巴普惠体 L" w:asciiTheme="majorEastAsia" w:hAnsiTheme="majorEastAsia" w:eastAsiaTheme="majorEastAsia"/>
        </w:rPr>
        <w:t>VC</w:t>
      </w:r>
      <w:r>
        <w:rPr>
          <w:rFonts w:hint="eastAsia" w:cs="阿里巴巴普惠体 L" w:asciiTheme="majorEastAsia" w:hAnsiTheme="majorEastAsia" w:eastAsiaTheme="majorEastAsia"/>
        </w:rPr>
        <w:t>机制能够筹集的资金，例如O</w:t>
      </w:r>
      <w:r>
        <w:rPr>
          <w:rFonts w:cs="阿里巴巴普惠体 L" w:asciiTheme="majorEastAsia" w:hAnsiTheme="majorEastAsia" w:eastAsiaTheme="majorEastAsia"/>
        </w:rPr>
        <w:t>ODC</w:t>
      </w:r>
      <w:r>
        <w:rPr>
          <w:rFonts w:hint="eastAsia" w:cs="阿里巴巴普惠体 L" w:asciiTheme="majorEastAsia" w:hAnsiTheme="majorEastAsia" w:eastAsiaTheme="majorEastAsia"/>
        </w:rPr>
        <w:t>【注1</w:t>
      </w:r>
      <w:r>
        <w:rPr>
          <w:rFonts w:cs="阿里巴巴普惠体 L" w:asciiTheme="majorEastAsia" w:hAnsiTheme="majorEastAsia" w:eastAsiaTheme="majorEastAsia"/>
        </w:rPr>
        <w:t>1</w:t>
      </w:r>
      <w:r>
        <w:rPr>
          <w:rFonts w:hint="eastAsia" w:cs="阿里巴巴普惠体 L" w:asciiTheme="majorEastAsia" w:hAnsiTheme="majorEastAsia" w:eastAsiaTheme="majorEastAsia"/>
        </w:rPr>
        <w:t>】同期记录了2</w:t>
      </w:r>
      <w:r>
        <w:rPr>
          <w:rFonts w:cs="阿里巴巴普惠体 L" w:asciiTheme="majorEastAsia" w:hAnsiTheme="majorEastAsia" w:eastAsiaTheme="majorEastAsia"/>
        </w:rPr>
        <w:t>7</w:t>
      </w:r>
      <w:r>
        <w:rPr>
          <w:rFonts w:hint="eastAsia" w:cs="阿里巴巴普惠体 L" w:asciiTheme="majorEastAsia" w:hAnsiTheme="majorEastAsia" w:eastAsiaTheme="majorEastAsia"/>
        </w:rPr>
        <w:t>亿巴西雷亚尔的收入（</w:t>
      </w:r>
      <w:r>
        <w:rPr>
          <w:rFonts w:cs="阿里巴巴普惠体 L" w:asciiTheme="majorEastAsia" w:hAnsiTheme="majorEastAsia" w:eastAsiaTheme="majorEastAsia"/>
        </w:rPr>
        <w:t>圣保罗</w:t>
      </w:r>
      <w:r>
        <w:rPr>
          <w:rFonts w:hint="eastAsia" w:cs="阿里巴巴普惠体 L" w:asciiTheme="majorEastAsia" w:hAnsiTheme="majorEastAsia" w:eastAsiaTheme="majorEastAsia"/>
        </w:rPr>
        <w:t>市政厅-</w:t>
      </w:r>
      <w:r>
        <w:rPr>
          <w:rFonts w:cs="阿里巴巴普惠体 L" w:asciiTheme="majorEastAsia" w:hAnsiTheme="majorEastAsia" w:eastAsiaTheme="majorEastAsia"/>
        </w:rPr>
        <w:t>圣保罗</w:t>
      </w:r>
      <w:r>
        <w:rPr>
          <w:rFonts w:hint="eastAsia" w:cs="阿里巴巴普惠体 L" w:asciiTheme="majorEastAsia" w:hAnsiTheme="majorEastAsia" w:eastAsiaTheme="majorEastAsia"/>
        </w:rPr>
        <w:t xml:space="preserve">城镇化 </w:t>
      </w:r>
      <w:r>
        <w:rPr>
          <w:rFonts w:cs="阿里巴巴普惠体 L" w:asciiTheme="majorEastAsia" w:hAnsiTheme="majorEastAsia" w:eastAsiaTheme="majorEastAsia"/>
        </w:rPr>
        <w:t>2019</w:t>
      </w:r>
      <w:r>
        <w:rPr>
          <w:rFonts w:hint="eastAsia" w:cs="阿里巴巴普惠体 L" w:asciiTheme="majorEastAsia" w:hAnsiTheme="majorEastAsia" w:eastAsiaTheme="majorEastAsia"/>
        </w:rPr>
        <w:t>b）。</w:t>
      </w:r>
    </w:p>
    <w:p>
      <w:pPr>
        <w:widowControl w:val="0"/>
        <w:spacing w:after="0" w:line="240" w:lineRule="auto"/>
        <w:jc w:val="both"/>
        <w:rPr>
          <w:rFonts w:ascii="阿里巴巴普惠体 L" w:hAnsi="阿里巴巴普惠体 L" w:eastAsia="阿里巴巴普惠体 L" w:cs="阿里巴巴普惠体 L"/>
          <w:kern w:val="2"/>
          <w:sz w:val="21"/>
          <w:szCs w:val="24"/>
        </w:rPr>
      </w:pPr>
      <w:r>
        <w:rPr>
          <w:rFonts w:hint="eastAsia" w:ascii="阿里巴巴普惠体 L" w:hAnsi="阿里巴巴普惠体 L" w:eastAsia="阿里巴巴普惠体 L" w:cs="阿里巴巴普惠体 L"/>
          <w:kern w:val="2"/>
          <w:sz w:val="21"/>
          <w:szCs w:val="24"/>
        </w:rPr>
        <w:t>【注9】共有4490999份CEPAC单元，相当于4600平方英尺，分5期发售，总计18次拍卖，分别发生在2002年至2010年和2012年。</w:t>
      </w:r>
    </w:p>
    <w:p>
      <w:pPr>
        <w:widowControl w:val="0"/>
        <w:spacing w:after="0" w:line="240" w:lineRule="auto"/>
        <w:jc w:val="both"/>
        <w:rPr>
          <w:rFonts w:ascii="阿里巴巴普惠体 L" w:hAnsi="阿里巴巴普惠体 L" w:eastAsia="阿里巴巴普惠体 L" w:cs="阿里巴巴普惠体 L"/>
          <w:kern w:val="2"/>
          <w:sz w:val="21"/>
          <w:szCs w:val="24"/>
        </w:rPr>
      </w:pPr>
      <w:r>
        <w:rPr>
          <w:rFonts w:hint="eastAsia" w:ascii="阿里巴巴普惠体 L" w:hAnsi="阿里巴巴普惠体 L" w:eastAsia="阿里巴巴普惠体 L" w:cs="阿里巴巴普惠体 L"/>
          <w:kern w:val="2"/>
          <w:sz w:val="21"/>
          <w:szCs w:val="24"/>
        </w:rPr>
        <w:t>【注1</w:t>
      </w:r>
      <w:r>
        <w:rPr>
          <w:rFonts w:ascii="阿里巴巴普惠体 L" w:hAnsi="阿里巴巴普惠体 L" w:eastAsia="阿里巴巴普惠体 L" w:cs="阿里巴巴普惠体 L"/>
          <w:kern w:val="2"/>
          <w:sz w:val="21"/>
          <w:szCs w:val="24"/>
        </w:rPr>
        <w:t>0</w:t>
      </w:r>
      <w:r>
        <w:rPr>
          <w:rFonts w:hint="eastAsia" w:ascii="阿里巴巴普惠体 L" w:hAnsi="阿里巴巴普惠体 L" w:eastAsia="阿里巴巴普惠体 L" w:cs="阿里巴巴普惠体 L"/>
          <w:kern w:val="2"/>
          <w:sz w:val="21"/>
          <w:szCs w:val="24"/>
        </w:rPr>
        <w:t>】以2018年的平均年汇率折合，R $ / US $ 3,6552。</w:t>
      </w:r>
    </w:p>
    <w:p>
      <w:pPr>
        <w:widowControl w:val="0"/>
        <w:spacing w:after="0" w:line="240" w:lineRule="auto"/>
        <w:jc w:val="both"/>
        <w:rPr>
          <w:rFonts w:ascii="阿里巴巴普惠体 L" w:hAnsi="阿里巴巴普惠体 L" w:eastAsia="阿里巴巴普惠体 L" w:cs="阿里巴巴普惠体 L"/>
          <w:kern w:val="2"/>
          <w:sz w:val="21"/>
          <w:szCs w:val="24"/>
        </w:rPr>
      </w:pPr>
      <w:r>
        <w:rPr>
          <w:rFonts w:hint="eastAsia" w:ascii="阿里巴巴普惠体 L" w:hAnsi="阿里巴巴普惠体 L" w:eastAsia="阿里巴巴普惠体 L" w:cs="阿里巴巴普惠体 L"/>
          <w:kern w:val="2"/>
          <w:sz w:val="21"/>
          <w:szCs w:val="24"/>
        </w:rPr>
        <w:t>【注1</w:t>
      </w:r>
      <w:r>
        <w:rPr>
          <w:rFonts w:ascii="阿里巴巴普惠体 L" w:hAnsi="阿里巴巴普惠体 L" w:eastAsia="阿里巴巴普惠体 L" w:cs="阿里巴巴普惠体 L"/>
          <w:kern w:val="2"/>
          <w:sz w:val="21"/>
          <w:szCs w:val="24"/>
        </w:rPr>
        <w:t>1</w:t>
      </w:r>
      <w:r>
        <w:rPr>
          <w:rFonts w:hint="eastAsia" w:ascii="阿里巴巴普惠体 L" w:hAnsi="阿里巴巴普惠体 L" w:eastAsia="阿里巴巴普惠体 L" w:cs="阿里巴巴普惠体 L"/>
          <w:kern w:val="2"/>
          <w:sz w:val="21"/>
          <w:szCs w:val="24"/>
        </w:rPr>
        <w:t>】有偿建设权出让机制，由开发商支付，适用于全市。</w:t>
      </w:r>
    </w:p>
    <w:p>
      <w:pPr>
        <w:pStyle w:val="7"/>
        <w:spacing w:line="360" w:lineRule="auto"/>
        <w:ind w:firstLine="480" w:firstLineChars="200"/>
        <w:jc w:val="both"/>
        <w:rPr>
          <w:rFonts w:cs="阿里巴巴普惠体 L" w:asciiTheme="majorEastAsia" w:hAnsiTheme="majorEastAsia" w:eastAsiaTheme="majorEastAsia"/>
        </w:rPr>
      </w:pPr>
      <w:r>
        <w:rPr>
          <w:rFonts w:hint="eastAsia" w:cs="阿里巴巴普惠体 L" w:asciiTheme="majorEastAsia" w:hAnsiTheme="majorEastAsia" w:eastAsiaTheme="majorEastAsia"/>
        </w:rPr>
        <w:t>通过这些项目和其他私人开发，地区土地价值随时间增长【注1</w:t>
      </w:r>
      <w:r>
        <w:rPr>
          <w:rFonts w:cs="阿里巴巴普惠体 L" w:asciiTheme="majorEastAsia" w:hAnsiTheme="majorEastAsia" w:eastAsiaTheme="majorEastAsia"/>
        </w:rPr>
        <w:t>2</w:t>
      </w:r>
      <w:r>
        <w:rPr>
          <w:rFonts w:hint="eastAsia" w:cs="阿里巴巴普惠体 L" w:asciiTheme="majorEastAsia" w:hAnsiTheme="majorEastAsia" w:eastAsiaTheme="majorEastAsia"/>
        </w:rPr>
        <w:t>】。2</w:t>
      </w:r>
      <w:r>
        <w:rPr>
          <w:rFonts w:cs="阿里巴巴普惠体 L" w:asciiTheme="majorEastAsia" w:hAnsiTheme="majorEastAsia" w:eastAsiaTheme="majorEastAsia"/>
        </w:rPr>
        <w:t>014</w:t>
      </w:r>
      <w:r>
        <w:rPr>
          <w:rFonts w:hint="eastAsia" w:cs="阿里巴巴普惠体 L" w:asciiTheme="majorEastAsia" w:hAnsiTheme="majorEastAsia" w:eastAsiaTheme="majorEastAsia"/>
        </w:rPr>
        <w:t>年C</w:t>
      </w:r>
      <w:r>
        <w:rPr>
          <w:rFonts w:cs="阿里巴巴普惠体 L" w:asciiTheme="majorEastAsia" w:hAnsiTheme="majorEastAsia" w:eastAsiaTheme="majorEastAsia"/>
        </w:rPr>
        <w:t>EPAC</w:t>
      </w:r>
      <w:r>
        <w:rPr>
          <w:rFonts w:hint="eastAsia" w:cs="阿里巴巴普惠体 L" w:asciiTheme="majorEastAsia" w:hAnsiTheme="majorEastAsia" w:eastAsiaTheme="majorEastAsia"/>
        </w:rPr>
        <w:t>的平均单价为3</w:t>
      </w:r>
      <w:r>
        <w:rPr>
          <w:rFonts w:cs="阿里巴巴普惠体 L" w:asciiTheme="majorEastAsia" w:hAnsiTheme="majorEastAsia" w:eastAsiaTheme="majorEastAsia"/>
        </w:rPr>
        <w:t>05</w:t>
      </w:r>
      <w:r>
        <w:rPr>
          <w:rFonts w:hint="eastAsia" w:cs="阿里巴巴普惠体 L" w:asciiTheme="majorEastAsia" w:hAnsiTheme="majorEastAsia" w:eastAsiaTheme="majorEastAsia"/>
        </w:rPr>
        <w:t>巴西雷亚尔，到2</w:t>
      </w:r>
      <w:r>
        <w:rPr>
          <w:rFonts w:cs="阿里巴巴普惠体 L" w:asciiTheme="majorEastAsia" w:hAnsiTheme="majorEastAsia" w:eastAsiaTheme="majorEastAsia"/>
        </w:rPr>
        <w:t>012</w:t>
      </w:r>
      <w:r>
        <w:rPr>
          <w:rFonts w:hint="eastAsia" w:cs="阿里巴巴普惠体 L" w:asciiTheme="majorEastAsia" w:hAnsiTheme="majorEastAsia" w:eastAsiaTheme="majorEastAsia"/>
        </w:rPr>
        <w:t>年最后一次报价时，一份C</w:t>
      </w:r>
      <w:r>
        <w:rPr>
          <w:rFonts w:cs="阿里巴巴普惠体 L" w:asciiTheme="majorEastAsia" w:hAnsiTheme="majorEastAsia" w:eastAsiaTheme="majorEastAsia"/>
        </w:rPr>
        <w:t>EPAC</w:t>
      </w:r>
      <w:r>
        <w:rPr>
          <w:rFonts w:hint="eastAsia" w:cs="阿里巴巴普惠体 L" w:asciiTheme="majorEastAsia" w:hAnsiTheme="majorEastAsia" w:eastAsiaTheme="majorEastAsia"/>
        </w:rPr>
        <w:t>的平均价格达到了1</w:t>
      </w:r>
      <w:r>
        <w:rPr>
          <w:rFonts w:cs="阿里巴巴普惠体 L" w:asciiTheme="majorEastAsia" w:hAnsiTheme="majorEastAsia" w:eastAsiaTheme="majorEastAsia"/>
        </w:rPr>
        <w:t>271</w:t>
      </w:r>
      <w:r>
        <w:rPr>
          <w:rFonts w:hint="eastAsia" w:cs="阿里巴巴普惠体 L" w:asciiTheme="majorEastAsia" w:hAnsiTheme="majorEastAsia" w:eastAsiaTheme="majorEastAsia"/>
        </w:rPr>
        <w:t>巴西雷亚尔，带来了1</w:t>
      </w:r>
      <w:r>
        <w:rPr>
          <w:rFonts w:cs="阿里巴巴普惠体 L" w:asciiTheme="majorEastAsia" w:hAnsiTheme="majorEastAsia" w:eastAsiaTheme="majorEastAsia"/>
        </w:rPr>
        <w:t>7</w:t>
      </w:r>
      <w:r>
        <w:rPr>
          <w:rFonts w:hint="eastAsia" w:cs="阿里巴巴普惠体 L" w:asciiTheme="majorEastAsia" w:hAnsiTheme="majorEastAsia" w:eastAsiaTheme="majorEastAsia"/>
        </w:rPr>
        <w:t>亿巴西雷亚尔的总收入（</w:t>
      </w:r>
      <w:r>
        <w:rPr>
          <w:rFonts w:cs="阿里巴巴普惠体 L" w:asciiTheme="majorEastAsia" w:hAnsiTheme="majorEastAsia" w:eastAsiaTheme="majorEastAsia"/>
        </w:rPr>
        <w:t>圣保罗</w:t>
      </w:r>
      <w:r>
        <w:rPr>
          <w:rFonts w:hint="eastAsia" w:cs="阿里巴巴普惠体 L" w:asciiTheme="majorEastAsia" w:hAnsiTheme="majorEastAsia" w:eastAsiaTheme="majorEastAsia"/>
        </w:rPr>
        <w:t>市政厅-</w:t>
      </w:r>
      <w:r>
        <w:rPr>
          <w:rFonts w:cs="阿里巴巴普惠体 L" w:asciiTheme="majorEastAsia" w:hAnsiTheme="majorEastAsia" w:eastAsiaTheme="majorEastAsia"/>
        </w:rPr>
        <w:t>圣保罗</w:t>
      </w:r>
      <w:r>
        <w:rPr>
          <w:rFonts w:hint="eastAsia" w:cs="阿里巴巴普惠体 L" w:asciiTheme="majorEastAsia" w:hAnsiTheme="majorEastAsia" w:eastAsiaTheme="majorEastAsia"/>
        </w:rPr>
        <w:t xml:space="preserve">城镇化 </w:t>
      </w:r>
      <w:r>
        <w:rPr>
          <w:rFonts w:cs="阿里巴巴普惠体 L" w:asciiTheme="majorEastAsia" w:hAnsiTheme="majorEastAsia" w:eastAsiaTheme="majorEastAsia"/>
        </w:rPr>
        <w:t>2018</w:t>
      </w:r>
      <w:r>
        <w:rPr>
          <w:rFonts w:hint="eastAsia" w:cs="阿里巴巴普惠体 L" w:asciiTheme="majorEastAsia" w:hAnsiTheme="majorEastAsia" w:eastAsiaTheme="majorEastAsia"/>
        </w:rPr>
        <w:t>）。这表明在2</w:t>
      </w:r>
      <w:r>
        <w:rPr>
          <w:rFonts w:cs="阿里巴巴普惠体 L" w:asciiTheme="majorEastAsia" w:hAnsiTheme="majorEastAsia" w:eastAsiaTheme="majorEastAsia"/>
        </w:rPr>
        <w:t>004</w:t>
      </w:r>
      <w:r>
        <w:rPr>
          <w:rFonts w:hint="eastAsia" w:cs="阿里巴巴普惠体 L" w:asciiTheme="majorEastAsia" w:hAnsiTheme="majorEastAsia" w:eastAsiaTheme="majorEastAsia"/>
        </w:rPr>
        <w:t>到2</w:t>
      </w:r>
      <w:r>
        <w:rPr>
          <w:rFonts w:cs="阿里巴巴普惠体 L" w:asciiTheme="majorEastAsia" w:hAnsiTheme="majorEastAsia" w:eastAsiaTheme="majorEastAsia"/>
        </w:rPr>
        <w:t>012</w:t>
      </w:r>
      <w:r>
        <w:rPr>
          <w:rFonts w:hint="eastAsia" w:cs="阿里巴巴普惠体 L" w:asciiTheme="majorEastAsia" w:hAnsiTheme="majorEastAsia" w:eastAsiaTheme="majorEastAsia"/>
        </w:rPr>
        <w:t>年间，C</w:t>
      </w:r>
      <w:r>
        <w:rPr>
          <w:rFonts w:cs="阿里巴巴普惠体 L" w:asciiTheme="majorEastAsia" w:hAnsiTheme="majorEastAsia" w:eastAsiaTheme="majorEastAsia"/>
        </w:rPr>
        <w:t>EPAC</w:t>
      </w:r>
      <w:r>
        <w:rPr>
          <w:rFonts w:hint="eastAsia" w:cs="阿里巴巴普惠体 L" w:asciiTheme="majorEastAsia" w:hAnsiTheme="majorEastAsia" w:eastAsiaTheme="majorEastAsia"/>
        </w:rPr>
        <w:t>单价增长了3</w:t>
      </w:r>
      <w:r>
        <w:rPr>
          <w:rFonts w:cs="阿里巴巴普惠体 L" w:asciiTheme="majorEastAsia" w:hAnsiTheme="majorEastAsia" w:eastAsiaTheme="majorEastAsia"/>
        </w:rPr>
        <w:t>17</w:t>
      </w:r>
      <w:r>
        <w:rPr>
          <w:rFonts w:hint="eastAsia" w:cs="阿里巴巴普惠体 L" w:asciiTheme="majorEastAsia" w:hAnsiTheme="majorEastAsia" w:eastAsiaTheme="majorEastAsia"/>
        </w:rPr>
        <w:t>%，年收入翻了5</w:t>
      </w:r>
      <w:r>
        <w:rPr>
          <w:rFonts w:cs="阿里巴巴普惠体 L" w:asciiTheme="majorEastAsia" w:hAnsiTheme="majorEastAsia" w:eastAsiaTheme="majorEastAsia"/>
        </w:rPr>
        <w:t>0</w:t>
      </w:r>
      <w:r>
        <w:rPr>
          <w:rFonts w:hint="eastAsia" w:cs="阿里巴巴普惠体 L" w:asciiTheme="majorEastAsia" w:hAnsiTheme="majorEastAsia" w:eastAsiaTheme="majorEastAsia"/>
        </w:rPr>
        <w:t>番。值得注意的是，2</w:t>
      </w:r>
      <w:r>
        <w:rPr>
          <w:rFonts w:cs="阿里巴巴普惠体 L" w:asciiTheme="majorEastAsia" w:hAnsiTheme="majorEastAsia" w:eastAsiaTheme="majorEastAsia"/>
        </w:rPr>
        <w:t>012</w:t>
      </w:r>
      <w:r>
        <w:rPr>
          <w:rFonts w:hint="eastAsia" w:cs="阿里巴巴普惠体 L" w:asciiTheme="majorEastAsia" w:hAnsiTheme="majorEastAsia" w:eastAsiaTheme="majorEastAsia"/>
        </w:rPr>
        <w:t>年后没有新的拍卖活动，因为城市政府认为一项城市运营计划必须在新拍卖活动举行前全部完成（2</w:t>
      </w:r>
      <w:r>
        <w:rPr>
          <w:rFonts w:cs="阿里巴巴普惠体 L" w:asciiTheme="majorEastAsia" w:hAnsiTheme="majorEastAsia" w:eastAsiaTheme="majorEastAsia"/>
        </w:rPr>
        <w:t>012</w:t>
      </w:r>
      <w:r>
        <w:rPr>
          <w:rFonts w:hint="eastAsia" w:cs="阿里巴巴普惠体 L" w:asciiTheme="majorEastAsia" w:hAnsiTheme="majorEastAsia" w:eastAsiaTheme="majorEastAsia"/>
        </w:rPr>
        <w:t>年拍卖列出的干预措施很多，因此尚未计划新的拍卖）。在</w:t>
      </w:r>
      <w:r>
        <w:rPr>
          <w:rFonts w:cs="阿里巴巴普惠体 L" w:asciiTheme="majorEastAsia" w:hAnsiTheme="majorEastAsia" w:eastAsiaTheme="majorEastAsia"/>
        </w:rPr>
        <w:t>OUCAE</w:t>
      </w:r>
      <w:r>
        <w:rPr>
          <w:rFonts w:hint="eastAsia" w:cs="阿里巴巴普惠体 L" w:asciiTheme="majorEastAsia" w:hAnsiTheme="majorEastAsia" w:eastAsiaTheme="majorEastAsia"/>
        </w:rPr>
        <w:t>项目中，土地价值被成功捕获，标志着CEPAC具备发展未来公共投资基金的潜力，但面向公众的总收入再分配仍不够公平，有待改善。</w:t>
      </w:r>
    </w:p>
    <w:p>
      <w:pPr>
        <w:widowControl w:val="0"/>
        <w:spacing w:after="0" w:line="240" w:lineRule="auto"/>
        <w:jc w:val="both"/>
        <w:rPr>
          <w:rFonts w:ascii="阿里巴巴普惠体 L" w:hAnsi="阿里巴巴普惠体 L" w:eastAsia="阿里巴巴普惠体 L" w:cs="阿里巴巴普惠体 L"/>
          <w:kern w:val="2"/>
          <w:sz w:val="21"/>
          <w:szCs w:val="24"/>
        </w:rPr>
      </w:pPr>
      <w:r>
        <w:rPr>
          <w:rFonts w:hint="eastAsia" w:ascii="阿里巴巴普惠体 L" w:hAnsi="阿里巴巴普惠体 L" w:eastAsia="阿里巴巴普惠体 L" w:cs="阿里巴巴普惠体 L"/>
          <w:kern w:val="2"/>
          <w:sz w:val="21"/>
          <w:szCs w:val="24"/>
        </w:rPr>
        <w:t>【注1</w:t>
      </w:r>
      <w:r>
        <w:rPr>
          <w:rFonts w:ascii="阿里巴巴普惠体 L" w:hAnsi="阿里巴巴普惠体 L" w:eastAsia="阿里巴巴普惠体 L" w:cs="阿里巴巴普惠体 L"/>
          <w:kern w:val="2"/>
          <w:sz w:val="21"/>
          <w:szCs w:val="24"/>
        </w:rPr>
        <w:t>2</w:t>
      </w:r>
      <w:r>
        <w:rPr>
          <w:rFonts w:hint="eastAsia" w:ascii="阿里巴巴普惠体 L" w:hAnsi="阿里巴巴普惠体 L" w:eastAsia="阿里巴巴普惠体 L" w:cs="阿里巴巴普惠体 L"/>
          <w:kern w:val="2"/>
          <w:sz w:val="21"/>
          <w:szCs w:val="24"/>
        </w:rPr>
        <w:t>】巴西地方一级缺乏土地和房地产价格的时间序列数据。我们使用CEPAC售价代表该地区土地价值。</w:t>
      </w:r>
    </w:p>
    <w:p>
      <w:pPr>
        <w:pStyle w:val="7"/>
        <w:spacing w:before="63" w:after="63"/>
        <w:jc w:val="both"/>
        <w:rPr>
          <w:rFonts w:ascii="阿里巴巴普惠体 L" w:hAnsi="阿里巴巴普惠体 L" w:eastAsia="阿里巴巴普惠体 L" w:cs="阿里巴巴普惠体 L"/>
          <w:b/>
          <w:sz w:val="32"/>
          <w:szCs w:val="32"/>
          <w:u w:val="single"/>
        </w:rPr>
      </w:pPr>
      <w:r>
        <w:rPr>
          <w:rFonts w:hint="eastAsia" w:ascii="阿里巴巴普惠体 L" w:hAnsi="阿里巴巴普惠体 L" w:eastAsia="阿里巴巴普惠体 L" w:cs="阿里巴巴普惠体 L"/>
          <w:b/>
          <w:sz w:val="32"/>
          <w:szCs w:val="32"/>
          <w:u w:val="single"/>
        </w:rPr>
        <w:t>总结</w:t>
      </w:r>
    </w:p>
    <w:p>
      <w:pPr>
        <w:pStyle w:val="7"/>
        <w:spacing w:line="360" w:lineRule="auto"/>
        <w:ind w:firstLine="480" w:firstLineChars="200"/>
        <w:jc w:val="both"/>
        <w:rPr>
          <w:rFonts w:cs="阿里巴巴普惠体 L" w:asciiTheme="majorEastAsia" w:hAnsiTheme="majorEastAsia" w:eastAsiaTheme="majorEastAsia"/>
        </w:rPr>
      </w:pPr>
      <w:r>
        <w:rPr>
          <w:rFonts w:cs="阿里巴巴普惠体 L" w:asciiTheme="majorEastAsia" w:hAnsiTheme="majorEastAsia" w:eastAsiaTheme="majorEastAsia"/>
        </w:rPr>
        <w:t>圣保罗</w:t>
      </w:r>
      <w:r>
        <w:rPr>
          <w:rFonts w:hint="eastAsia" w:cs="阿里巴巴普惠体 L" w:asciiTheme="majorEastAsia" w:hAnsiTheme="majorEastAsia" w:eastAsiaTheme="majorEastAsia"/>
        </w:rPr>
        <w:t>代表了一类最成功的案例，具备兼顾收入捕获以及公平性考虑的规则制度。在这一案例中，具有推动C</w:t>
      </w:r>
      <w:r>
        <w:rPr>
          <w:rFonts w:cs="阿里巴巴普惠体 L" w:asciiTheme="majorEastAsia" w:hAnsiTheme="majorEastAsia" w:eastAsiaTheme="majorEastAsia"/>
        </w:rPr>
        <w:t>EPAC</w:t>
      </w:r>
      <w:r>
        <w:rPr>
          <w:rFonts w:hint="eastAsia" w:cs="阿里巴巴普惠体 L" w:asciiTheme="majorEastAsia" w:hAnsiTheme="majorEastAsia" w:eastAsiaTheme="majorEastAsia"/>
        </w:rPr>
        <w:t>融资有效利用的三个主要因素：</w:t>
      </w:r>
      <w:r>
        <w:rPr>
          <w:rFonts w:cs="阿里巴巴普惠体 L" w:asciiTheme="majorEastAsia" w:hAnsiTheme="majorEastAsia" w:eastAsiaTheme="majorEastAsia"/>
        </w:rPr>
        <w:t>圣保罗</w:t>
      </w:r>
      <w:r>
        <w:rPr>
          <w:rFonts w:hint="eastAsia" w:cs="阿里巴巴普惠体 L" w:asciiTheme="majorEastAsia" w:hAnsiTheme="majorEastAsia" w:eastAsiaTheme="majorEastAsia"/>
        </w:rPr>
        <w:t>健康且充满活力的房地产市场；城市运营地区的私人投资利益；保证地区投资实施的强有力的制度支持以及透明的流程。这一案例体现出市场条件、制度背景和能力的重要性，以及有必要保障收入群体收益再分配更加公平。</w:t>
      </w:r>
    </w:p>
    <w:p>
      <w:pPr>
        <w:jc w:val="both"/>
        <w:rPr>
          <w:rFonts w:ascii="阿里巴巴普惠体 L" w:hAnsi="阿里巴巴普惠体 L" w:eastAsia="阿里巴巴普惠体 L" w:cs="阿里巴巴普惠体 L"/>
          <w:bCs/>
          <w:sz w:val="28"/>
          <w:szCs w:val="28"/>
        </w:rPr>
      </w:pPr>
    </w:p>
    <w:sectPr>
      <w:pgSz w:w="12240" w:h="15840"/>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阿里巴巴普惠体 L">
    <w:altName w:val="宋体"/>
    <w:panose1 w:val="00000000000000000000"/>
    <w:charset w:val="86"/>
    <w:family w:val="roman"/>
    <w:pitch w:val="default"/>
    <w:sig w:usb0="00000000" w:usb1="00000000" w:usb2="0000001E"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AxYzVkMjA0NWFkMjQwNzFkYzliZDBkNjhhNDNlYWYifQ=="/>
  </w:docVars>
  <w:rsids>
    <w:rsidRoot w:val="00E24DD4"/>
    <w:rsid w:val="0000796B"/>
    <w:rsid w:val="00022071"/>
    <w:rsid w:val="0003278F"/>
    <w:rsid w:val="00037143"/>
    <w:rsid w:val="00040959"/>
    <w:rsid w:val="000713A7"/>
    <w:rsid w:val="00085344"/>
    <w:rsid w:val="00092DB3"/>
    <w:rsid w:val="00096F5C"/>
    <w:rsid w:val="000B2C6D"/>
    <w:rsid w:val="000B5D95"/>
    <w:rsid w:val="000B6D66"/>
    <w:rsid w:val="000C33E5"/>
    <w:rsid w:val="000C6DEB"/>
    <w:rsid w:val="000D06E6"/>
    <w:rsid w:val="00103E8C"/>
    <w:rsid w:val="0013351C"/>
    <w:rsid w:val="00135E08"/>
    <w:rsid w:val="00145A06"/>
    <w:rsid w:val="00147B4D"/>
    <w:rsid w:val="0015183F"/>
    <w:rsid w:val="00152B1E"/>
    <w:rsid w:val="0019302F"/>
    <w:rsid w:val="00193D1B"/>
    <w:rsid w:val="00197903"/>
    <w:rsid w:val="001A00C9"/>
    <w:rsid w:val="001A159E"/>
    <w:rsid w:val="001A6910"/>
    <w:rsid w:val="001A76D5"/>
    <w:rsid w:val="001B6870"/>
    <w:rsid w:val="001C5EB6"/>
    <w:rsid w:val="001D7B00"/>
    <w:rsid w:val="001E2858"/>
    <w:rsid w:val="00200A85"/>
    <w:rsid w:val="002028BB"/>
    <w:rsid w:val="00216496"/>
    <w:rsid w:val="0021798B"/>
    <w:rsid w:val="0022109C"/>
    <w:rsid w:val="00242526"/>
    <w:rsid w:val="00261D3E"/>
    <w:rsid w:val="00262539"/>
    <w:rsid w:val="002650E0"/>
    <w:rsid w:val="00267CBA"/>
    <w:rsid w:val="00293468"/>
    <w:rsid w:val="002A4AC4"/>
    <w:rsid w:val="002C6931"/>
    <w:rsid w:val="002D40B1"/>
    <w:rsid w:val="00305E82"/>
    <w:rsid w:val="00306173"/>
    <w:rsid w:val="00310E4C"/>
    <w:rsid w:val="0031640D"/>
    <w:rsid w:val="00320EFB"/>
    <w:rsid w:val="00323192"/>
    <w:rsid w:val="003266EA"/>
    <w:rsid w:val="00337DBD"/>
    <w:rsid w:val="00341A34"/>
    <w:rsid w:val="0035203E"/>
    <w:rsid w:val="00366616"/>
    <w:rsid w:val="0039438B"/>
    <w:rsid w:val="003A05C0"/>
    <w:rsid w:val="003A6DC3"/>
    <w:rsid w:val="003A75C5"/>
    <w:rsid w:val="003B4680"/>
    <w:rsid w:val="003B49DF"/>
    <w:rsid w:val="003B552F"/>
    <w:rsid w:val="003C3165"/>
    <w:rsid w:val="003D077E"/>
    <w:rsid w:val="003D3FE5"/>
    <w:rsid w:val="003D477F"/>
    <w:rsid w:val="003D581E"/>
    <w:rsid w:val="003F6250"/>
    <w:rsid w:val="004153B1"/>
    <w:rsid w:val="00442E85"/>
    <w:rsid w:val="0044745D"/>
    <w:rsid w:val="00450E14"/>
    <w:rsid w:val="00450FFF"/>
    <w:rsid w:val="0045674D"/>
    <w:rsid w:val="004768AE"/>
    <w:rsid w:val="00476E7E"/>
    <w:rsid w:val="00494DA4"/>
    <w:rsid w:val="004E2F50"/>
    <w:rsid w:val="004E7A30"/>
    <w:rsid w:val="004F17FB"/>
    <w:rsid w:val="004F348E"/>
    <w:rsid w:val="004F6989"/>
    <w:rsid w:val="00506E22"/>
    <w:rsid w:val="0050759F"/>
    <w:rsid w:val="005156FB"/>
    <w:rsid w:val="00520DE1"/>
    <w:rsid w:val="0052747D"/>
    <w:rsid w:val="005354F7"/>
    <w:rsid w:val="00555BEE"/>
    <w:rsid w:val="00557DC8"/>
    <w:rsid w:val="00557EC9"/>
    <w:rsid w:val="005741EC"/>
    <w:rsid w:val="0057476F"/>
    <w:rsid w:val="005A0D29"/>
    <w:rsid w:val="005A114A"/>
    <w:rsid w:val="005A2F0D"/>
    <w:rsid w:val="005A6DDF"/>
    <w:rsid w:val="005D0842"/>
    <w:rsid w:val="005D397B"/>
    <w:rsid w:val="005F08C5"/>
    <w:rsid w:val="00600973"/>
    <w:rsid w:val="00603976"/>
    <w:rsid w:val="0062082B"/>
    <w:rsid w:val="00621A05"/>
    <w:rsid w:val="006302D5"/>
    <w:rsid w:val="00632289"/>
    <w:rsid w:val="00645A6C"/>
    <w:rsid w:val="00651243"/>
    <w:rsid w:val="006532AD"/>
    <w:rsid w:val="006551C1"/>
    <w:rsid w:val="0067514C"/>
    <w:rsid w:val="00686526"/>
    <w:rsid w:val="006A0FED"/>
    <w:rsid w:val="006A7BEB"/>
    <w:rsid w:val="006C451E"/>
    <w:rsid w:val="006E0BAF"/>
    <w:rsid w:val="006E5CC0"/>
    <w:rsid w:val="007009B8"/>
    <w:rsid w:val="00703542"/>
    <w:rsid w:val="0071249E"/>
    <w:rsid w:val="00736160"/>
    <w:rsid w:val="00746A96"/>
    <w:rsid w:val="00746ADB"/>
    <w:rsid w:val="00771897"/>
    <w:rsid w:val="00773807"/>
    <w:rsid w:val="00777DA2"/>
    <w:rsid w:val="00790C49"/>
    <w:rsid w:val="0079741C"/>
    <w:rsid w:val="007D7F55"/>
    <w:rsid w:val="007E260F"/>
    <w:rsid w:val="007F4A5C"/>
    <w:rsid w:val="007F66BB"/>
    <w:rsid w:val="007F7AFA"/>
    <w:rsid w:val="00816FB8"/>
    <w:rsid w:val="00826B9A"/>
    <w:rsid w:val="00827012"/>
    <w:rsid w:val="00834AD2"/>
    <w:rsid w:val="00841E2C"/>
    <w:rsid w:val="00844EEB"/>
    <w:rsid w:val="00853E14"/>
    <w:rsid w:val="0085557A"/>
    <w:rsid w:val="00870B53"/>
    <w:rsid w:val="00874398"/>
    <w:rsid w:val="008820D4"/>
    <w:rsid w:val="00883BEE"/>
    <w:rsid w:val="008B43EC"/>
    <w:rsid w:val="008B4F4A"/>
    <w:rsid w:val="008B76EE"/>
    <w:rsid w:val="008E5F6D"/>
    <w:rsid w:val="008E6E8A"/>
    <w:rsid w:val="008E7DF5"/>
    <w:rsid w:val="009128F2"/>
    <w:rsid w:val="0092746D"/>
    <w:rsid w:val="00931A51"/>
    <w:rsid w:val="00945785"/>
    <w:rsid w:val="009458C0"/>
    <w:rsid w:val="00947BE2"/>
    <w:rsid w:val="009678D2"/>
    <w:rsid w:val="00967FB9"/>
    <w:rsid w:val="009731AD"/>
    <w:rsid w:val="00973704"/>
    <w:rsid w:val="00992B84"/>
    <w:rsid w:val="00995E49"/>
    <w:rsid w:val="00996C2D"/>
    <w:rsid w:val="009B1EE4"/>
    <w:rsid w:val="009E0FA5"/>
    <w:rsid w:val="00A03173"/>
    <w:rsid w:val="00A11F33"/>
    <w:rsid w:val="00A13FA1"/>
    <w:rsid w:val="00A1587B"/>
    <w:rsid w:val="00A23020"/>
    <w:rsid w:val="00A47B02"/>
    <w:rsid w:val="00A6653E"/>
    <w:rsid w:val="00A71F66"/>
    <w:rsid w:val="00A75795"/>
    <w:rsid w:val="00A77399"/>
    <w:rsid w:val="00AA1579"/>
    <w:rsid w:val="00AA39E3"/>
    <w:rsid w:val="00AA73B6"/>
    <w:rsid w:val="00AB0E25"/>
    <w:rsid w:val="00AB5E70"/>
    <w:rsid w:val="00AD3DDD"/>
    <w:rsid w:val="00AF379D"/>
    <w:rsid w:val="00B01201"/>
    <w:rsid w:val="00B1707C"/>
    <w:rsid w:val="00B2700B"/>
    <w:rsid w:val="00B372EE"/>
    <w:rsid w:val="00B545F1"/>
    <w:rsid w:val="00B55E86"/>
    <w:rsid w:val="00B7208C"/>
    <w:rsid w:val="00B8107B"/>
    <w:rsid w:val="00B821FD"/>
    <w:rsid w:val="00B85979"/>
    <w:rsid w:val="00B929C9"/>
    <w:rsid w:val="00B95D09"/>
    <w:rsid w:val="00B97DBF"/>
    <w:rsid w:val="00BC431E"/>
    <w:rsid w:val="00BD0D5D"/>
    <w:rsid w:val="00BD2784"/>
    <w:rsid w:val="00BE3AFD"/>
    <w:rsid w:val="00BE7558"/>
    <w:rsid w:val="00BF05BD"/>
    <w:rsid w:val="00C17BA2"/>
    <w:rsid w:val="00C244F6"/>
    <w:rsid w:val="00C35EE9"/>
    <w:rsid w:val="00C412B0"/>
    <w:rsid w:val="00C45DEF"/>
    <w:rsid w:val="00C45F75"/>
    <w:rsid w:val="00C50D64"/>
    <w:rsid w:val="00C50EDF"/>
    <w:rsid w:val="00C63E5C"/>
    <w:rsid w:val="00C70D98"/>
    <w:rsid w:val="00C83D87"/>
    <w:rsid w:val="00C87034"/>
    <w:rsid w:val="00C94D6B"/>
    <w:rsid w:val="00C96D10"/>
    <w:rsid w:val="00CA22E9"/>
    <w:rsid w:val="00CC38AE"/>
    <w:rsid w:val="00CD0A12"/>
    <w:rsid w:val="00CF6C10"/>
    <w:rsid w:val="00D123AE"/>
    <w:rsid w:val="00D14D01"/>
    <w:rsid w:val="00D20D34"/>
    <w:rsid w:val="00D21E78"/>
    <w:rsid w:val="00D23D79"/>
    <w:rsid w:val="00D33C16"/>
    <w:rsid w:val="00D342E3"/>
    <w:rsid w:val="00D40207"/>
    <w:rsid w:val="00D44814"/>
    <w:rsid w:val="00D5384D"/>
    <w:rsid w:val="00D565F3"/>
    <w:rsid w:val="00D80C9D"/>
    <w:rsid w:val="00D85762"/>
    <w:rsid w:val="00D91ED0"/>
    <w:rsid w:val="00DB12B4"/>
    <w:rsid w:val="00DB4E28"/>
    <w:rsid w:val="00DB732C"/>
    <w:rsid w:val="00DC10A6"/>
    <w:rsid w:val="00DC1D87"/>
    <w:rsid w:val="00DE6A43"/>
    <w:rsid w:val="00E0004E"/>
    <w:rsid w:val="00E06036"/>
    <w:rsid w:val="00E07ADD"/>
    <w:rsid w:val="00E24DD4"/>
    <w:rsid w:val="00E349CD"/>
    <w:rsid w:val="00E533A5"/>
    <w:rsid w:val="00E64894"/>
    <w:rsid w:val="00E71255"/>
    <w:rsid w:val="00E8482B"/>
    <w:rsid w:val="00EA50A3"/>
    <w:rsid w:val="00EA5F40"/>
    <w:rsid w:val="00EB46BC"/>
    <w:rsid w:val="00ED5820"/>
    <w:rsid w:val="00ED5AE2"/>
    <w:rsid w:val="00ED769E"/>
    <w:rsid w:val="00EE3DC3"/>
    <w:rsid w:val="00EE6400"/>
    <w:rsid w:val="00EE6B17"/>
    <w:rsid w:val="00EF0EF4"/>
    <w:rsid w:val="00EF3B9C"/>
    <w:rsid w:val="00F41E58"/>
    <w:rsid w:val="00F66B9B"/>
    <w:rsid w:val="00F8477B"/>
    <w:rsid w:val="00FA0EDC"/>
    <w:rsid w:val="00FB0F64"/>
    <w:rsid w:val="00FB2866"/>
    <w:rsid w:val="00FB30E0"/>
    <w:rsid w:val="00FB4027"/>
    <w:rsid w:val="00FB6A8C"/>
    <w:rsid w:val="00FC0157"/>
    <w:rsid w:val="00FC0C40"/>
    <w:rsid w:val="00FC517D"/>
    <w:rsid w:val="00FD0830"/>
    <w:rsid w:val="00FD0A81"/>
    <w:rsid w:val="00FD28E4"/>
    <w:rsid w:val="00FD6760"/>
    <w:rsid w:val="00FE1A56"/>
    <w:rsid w:val="00FE25E1"/>
    <w:rsid w:val="00FE4741"/>
    <w:rsid w:val="00FF7D40"/>
    <w:rsid w:val="66B101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semiHidden="0"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8"/>
    <w:semiHidden/>
    <w:unhideWhenUsed/>
    <w:uiPriority w:val="99"/>
  </w:style>
  <w:style w:type="paragraph" w:styleId="3">
    <w:name w:val="Balloon Text"/>
    <w:basedOn w:val="1"/>
    <w:link w:val="20"/>
    <w:semiHidden/>
    <w:unhideWhenUsed/>
    <w:qFormat/>
    <w:uiPriority w:val="99"/>
    <w:pPr>
      <w:spacing w:after="0" w:line="240" w:lineRule="auto"/>
    </w:pPr>
    <w:rPr>
      <w:sz w:val="18"/>
      <w:szCs w:val="18"/>
    </w:rPr>
  </w:style>
  <w:style w:type="paragraph" w:styleId="4">
    <w:name w:val="footer"/>
    <w:basedOn w:val="1"/>
    <w:link w:val="17"/>
    <w:unhideWhenUsed/>
    <w:uiPriority w:val="99"/>
    <w:pPr>
      <w:tabs>
        <w:tab w:val="center" w:pos="4153"/>
        <w:tab w:val="right" w:pos="8306"/>
      </w:tabs>
      <w:snapToGrid w:val="0"/>
      <w:spacing w:line="240" w:lineRule="auto"/>
    </w:pPr>
    <w:rPr>
      <w:sz w:val="18"/>
      <w:szCs w:val="18"/>
    </w:rPr>
  </w:style>
  <w:style w:type="paragraph" w:styleId="5">
    <w:name w:val="header"/>
    <w:basedOn w:val="1"/>
    <w:link w:val="16"/>
    <w:unhideWhenUsed/>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6">
    <w:name w:val="footnote text"/>
    <w:basedOn w:val="1"/>
    <w:link w:val="22"/>
    <w:unhideWhenUsed/>
    <w:uiPriority w:val="99"/>
    <w:pPr>
      <w:snapToGrid w:val="0"/>
    </w:pPr>
    <w:rPr>
      <w:sz w:val="18"/>
      <w:szCs w:val="18"/>
    </w:rPr>
  </w:style>
  <w:style w:type="paragraph" w:styleId="7">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styleId="8">
    <w:name w:val="annotation subject"/>
    <w:basedOn w:val="2"/>
    <w:next w:val="2"/>
    <w:link w:val="19"/>
    <w:semiHidden/>
    <w:unhideWhenUsed/>
    <w:uiPriority w:val="99"/>
    <w:rPr>
      <w:b/>
      <w:bCs/>
    </w:rPr>
  </w:style>
  <w:style w:type="table" w:styleId="10">
    <w:name w:val="Table Grid"/>
    <w:basedOn w:val="9"/>
    <w:qFormat/>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qFormat/>
    <w:uiPriority w:val="0"/>
    <w:rPr>
      <w:color w:val="0000FF"/>
      <w:u w:val="single"/>
    </w:rPr>
  </w:style>
  <w:style w:type="character" w:styleId="13">
    <w:name w:val="annotation reference"/>
    <w:basedOn w:val="11"/>
    <w:semiHidden/>
    <w:unhideWhenUsed/>
    <w:uiPriority w:val="99"/>
    <w:rPr>
      <w:sz w:val="21"/>
      <w:szCs w:val="21"/>
    </w:rPr>
  </w:style>
  <w:style w:type="character" w:styleId="14">
    <w:name w:val="footnote reference"/>
    <w:basedOn w:val="11"/>
    <w:unhideWhenUsed/>
    <w:qFormat/>
    <w:uiPriority w:val="99"/>
    <w:rPr>
      <w:vertAlign w:val="superscript"/>
    </w:rPr>
  </w:style>
  <w:style w:type="paragraph" w:styleId="15">
    <w:name w:val="List Paragraph"/>
    <w:basedOn w:val="1"/>
    <w:qFormat/>
    <w:uiPriority w:val="34"/>
    <w:pPr>
      <w:ind w:firstLine="420" w:firstLineChars="200"/>
    </w:pPr>
  </w:style>
  <w:style w:type="character" w:customStyle="1" w:styleId="16">
    <w:name w:val="页眉 字符"/>
    <w:basedOn w:val="11"/>
    <w:link w:val="5"/>
    <w:uiPriority w:val="99"/>
    <w:rPr>
      <w:sz w:val="18"/>
      <w:szCs w:val="18"/>
    </w:rPr>
  </w:style>
  <w:style w:type="character" w:customStyle="1" w:styleId="17">
    <w:name w:val="页脚 字符"/>
    <w:basedOn w:val="11"/>
    <w:link w:val="4"/>
    <w:uiPriority w:val="99"/>
    <w:rPr>
      <w:sz w:val="18"/>
      <w:szCs w:val="18"/>
    </w:rPr>
  </w:style>
  <w:style w:type="character" w:customStyle="1" w:styleId="18">
    <w:name w:val="批注文字 字符"/>
    <w:basedOn w:val="11"/>
    <w:link w:val="2"/>
    <w:semiHidden/>
    <w:uiPriority w:val="99"/>
  </w:style>
  <w:style w:type="character" w:customStyle="1" w:styleId="19">
    <w:name w:val="批注主题 字符"/>
    <w:basedOn w:val="18"/>
    <w:link w:val="8"/>
    <w:semiHidden/>
    <w:qFormat/>
    <w:uiPriority w:val="99"/>
    <w:rPr>
      <w:b/>
      <w:bCs/>
    </w:rPr>
  </w:style>
  <w:style w:type="character" w:customStyle="1" w:styleId="20">
    <w:name w:val="批注框文本 字符"/>
    <w:basedOn w:val="11"/>
    <w:link w:val="3"/>
    <w:semiHidden/>
    <w:qFormat/>
    <w:uiPriority w:val="99"/>
    <w:rPr>
      <w:sz w:val="18"/>
      <w:szCs w:val="18"/>
    </w:rPr>
  </w:style>
  <w:style w:type="character" w:customStyle="1" w:styleId="21">
    <w:name w:val="tlid-translation"/>
    <w:basedOn w:val="11"/>
    <w:uiPriority w:val="0"/>
  </w:style>
  <w:style w:type="character" w:customStyle="1" w:styleId="22">
    <w:name w:val="脚注文本 字符"/>
    <w:basedOn w:val="11"/>
    <w:link w:val="6"/>
    <w:qFormat/>
    <w:uiPriority w:val="99"/>
    <w:rPr>
      <w:sz w:val="18"/>
      <w:szCs w:val="18"/>
    </w:rPr>
  </w:style>
  <w:style w:type="character" w:customStyle="1" w:styleId="23">
    <w:name w:val="transsent"/>
    <w:basedOn w:val="11"/>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emf"/><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Pages>
  <Words>6214</Words>
  <Characters>7643</Characters>
  <Lines>55</Lines>
  <Paragraphs>15</Paragraphs>
  <TotalTime>1</TotalTime>
  <ScaleCrop>false</ScaleCrop>
  <LinksUpToDate>false</LinksUpToDate>
  <CharactersWithSpaces>7749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2023-03-16T07:20:00Z</dcterms:created>
  <dc:creator>liudaizong</dc:creator>
  <cp:lastModifiedBy>郭一麟</cp:lastModifiedBy>
  <dcterms:modified xsi:type="dcterms:W3CDTF">2023-04-04T06:34:11Z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FEBABD3B4CDF4661B7FE137928271052_12</vt:lpwstr>
  </property>
</Properties>
</file>